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74091A" w14:textId="3A2FAD82" w:rsidR="007030A7" w:rsidRPr="00114086" w:rsidRDefault="00FB6E94" w:rsidP="00082892">
      <w:pPr>
        <w:spacing w:after="240" w:line="240" w:lineRule="auto"/>
        <w:rPr>
          <w:rFonts w:ascii="Arial" w:hAnsi="Arial" w:cs="Arial"/>
          <w:color w:val="000000" w:themeColor="text1"/>
          <w:sz w:val="20"/>
          <w:szCs w:val="16"/>
        </w:rPr>
      </w:pPr>
      <w:r>
        <w:rPr>
          <w:rFonts w:ascii="Arial" w:hAnsi="Arial" w:cs="Arial"/>
          <w:color w:val="000000" w:themeColor="text1"/>
          <w:sz w:val="20"/>
          <w:szCs w:val="16"/>
        </w:rPr>
        <w:t>Resumo Expandido (Pôster)</w:t>
      </w:r>
      <w:r w:rsidR="003D5AE7" w:rsidRPr="00114086">
        <w:rPr>
          <w:rFonts w:ascii="Arial" w:hAnsi="Arial" w:cs="Arial"/>
          <w:color w:val="000000" w:themeColor="text1"/>
          <w:sz w:val="20"/>
          <w:szCs w:val="16"/>
        </w:rPr>
        <w:t xml:space="preserve">: </w:t>
      </w:r>
      <w:r w:rsidR="000107E0" w:rsidRPr="00114086">
        <w:rPr>
          <w:rFonts w:ascii="Arial" w:hAnsi="Arial" w:cs="Arial"/>
          <w:color w:val="000000" w:themeColor="text1"/>
          <w:sz w:val="20"/>
          <w:szCs w:val="16"/>
        </w:rPr>
        <w:t xml:space="preserve">Eixo </w:t>
      </w:r>
      <w:r w:rsidR="00C333FC">
        <w:rPr>
          <w:rFonts w:ascii="Arial" w:hAnsi="Arial" w:cs="Arial"/>
          <w:color w:val="000000" w:themeColor="text1"/>
          <w:sz w:val="20"/>
          <w:szCs w:val="16"/>
        </w:rPr>
        <w:t>10</w:t>
      </w:r>
      <w:r w:rsidR="00A54C70">
        <w:rPr>
          <w:rFonts w:ascii="Arial" w:hAnsi="Arial" w:cs="Arial"/>
          <w:color w:val="000000" w:themeColor="text1"/>
          <w:sz w:val="20"/>
          <w:szCs w:val="16"/>
        </w:rPr>
        <w:t xml:space="preserve"> – Formação de Professores</w:t>
      </w:r>
    </w:p>
    <w:p w14:paraId="5FF6BF40" w14:textId="4A05C20E" w:rsidR="00907343" w:rsidRPr="00C333FC" w:rsidRDefault="001A1B58" w:rsidP="00907343">
      <w:pPr>
        <w:spacing w:line="240" w:lineRule="auto"/>
        <w:jc w:val="center"/>
        <w:rPr>
          <w:rFonts w:ascii="Arial Black" w:hAnsi="Arial Black" w:cs="Times New Roman"/>
          <w:b/>
          <w:color w:val="C00000"/>
          <w:sz w:val="24"/>
          <w:szCs w:val="24"/>
        </w:rPr>
      </w:pPr>
      <w:r w:rsidRPr="00C333FC">
        <w:rPr>
          <w:rFonts w:ascii="Arial Black" w:hAnsi="Arial Black" w:cs="Times New Roman"/>
          <w:b/>
          <w:color w:val="C00000"/>
          <w:sz w:val="24"/>
          <w:szCs w:val="24"/>
        </w:rPr>
        <w:t xml:space="preserve">A </w:t>
      </w:r>
      <w:r w:rsidR="00907343" w:rsidRPr="00C333FC">
        <w:rPr>
          <w:rFonts w:ascii="Arial Black" w:hAnsi="Arial Black" w:cs="Times New Roman"/>
          <w:b/>
          <w:color w:val="C00000"/>
          <w:sz w:val="24"/>
          <w:szCs w:val="24"/>
        </w:rPr>
        <w:t>FORMAÇÃO DOCENTE À LUZ DE UMA DISCUSSÃO TEÓRICA</w:t>
      </w:r>
    </w:p>
    <w:tbl>
      <w:tblPr>
        <w:tblStyle w:val="Tabelacomgrade"/>
        <w:tblW w:w="9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0"/>
      </w:tblGrid>
      <w:tr w:rsidR="003A2B8E" w:rsidRPr="00045A91" w14:paraId="5824E1A5" w14:textId="77777777" w:rsidTr="00907343">
        <w:trPr>
          <w:trHeight w:val="221"/>
        </w:trPr>
        <w:tc>
          <w:tcPr>
            <w:tcW w:w="9100" w:type="dxa"/>
            <w:tcBorders>
              <w:bottom w:val="single" w:sz="4" w:space="0" w:color="auto"/>
            </w:tcBorders>
            <w:shd w:val="clear" w:color="auto" w:fill="FFFFFF" w:themeFill="background1"/>
          </w:tcPr>
          <w:p w14:paraId="17BA10D8" w14:textId="6604BE06" w:rsidR="003D5AE7" w:rsidRPr="003D5AE7" w:rsidRDefault="00495708" w:rsidP="00907343">
            <w:pPr>
              <w:jc w:val="center"/>
              <w:rPr>
                <w:rFonts w:ascii="Arial" w:hAnsi="Arial" w:cs="Arial"/>
                <w:b/>
                <w:sz w:val="20"/>
                <w:szCs w:val="20"/>
              </w:rPr>
            </w:pPr>
            <w:r>
              <w:rPr>
                <w:rFonts w:ascii="Arial" w:hAnsi="Arial" w:cs="Arial"/>
                <w:sz w:val="20"/>
                <w:szCs w:val="18"/>
              </w:rPr>
              <w:t>Alan Elias Silva</w:t>
            </w:r>
            <w:r w:rsidR="00A2499B" w:rsidRPr="00646B6F">
              <w:rPr>
                <w:rFonts w:ascii="Arial" w:hAnsi="Arial" w:cs="Arial"/>
                <w:sz w:val="20"/>
                <w:szCs w:val="18"/>
              </w:rPr>
              <w:t xml:space="preserve"> </w:t>
            </w:r>
            <w:r w:rsidR="00A2499B" w:rsidRPr="00646B6F">
              <w:rPr>
                <w:rFonts w:ascii="Arial" w:hAnsi="Arial" w:cs="Arial"/>
                <w:color w:val="000000" w:themeColor="text1"/>
                <w:sz w:val="20"/>
                <w:szCs w:val="18"/>
              </w:rPr>
              <w:t>–</w:t>
            </w:r>
            <w:r w:rsidR="00DE2F8D" w:rsidRPr="00646B6F">
              <w:rPr>
                <w:rFonts w:ascii="Arial" w:hAnsi="Arial" w:cs="Arial"/>
                <w:color w:val="000000" w:themeColor="text1"/>
                <w:sz w:val="20"/>
                <w:szCs w:val="18"/>
              </w:rPr>
              <w:t xml:space="preserve"> </w:t>
            </w:r>
            <w:r w:rsidR="00A2499B" w:rsidRPr="00646B6F">
              <w:rPr>
                <w:rFonts w:ascii="Arial" w:hAnsi="Arial" w:cs="Arial"/>
                <w:color w:val="000000" w:themeColor="text1"/>
                <w:sz w:val="20"/>
                <w:szCs w:val="18"/>
              </w:rPr>
              <w:t>UF</w:t>
            </w:r>
            <w:r>
              <w:rPr>
                <w:rFonts w:ascii="Arial" w:hAnsi="Arial" w:cs="Arial"/>
                <w:color w:val="000000" w:themeColor="text1"/>
                <w:sz w:val="20"/>
                <w:szCs w:val="18"/>
              </w:rPr>
              <w:t>PR</w:t>
            </w:r>
            <w:r w:rsidR="00A2499B" w:rsidRPr="00646B6F">
              <w:rPr>
                <w:rFonts w:ascii="Arial" w:hAnsi="Arial" w:cs="Arial"/>
                <w:color w:val="000000" w:themeColor="text1"/>
                <w:sz w:val="20"/>
                <w:szCs w:val="18"/>
              </w:rPr>
              <w:t>/</w:t>
            </w:r>
            <w:r>
              <w:rPr>
                <w:rFonts w:ascii="Arial" w:hAnsi="Arial" w:cs="Arial"/>
                <w:color w:val="000000" w:themeColor="text1"/>
                <w:sz w:val="20"/>
                <w:szCs w:val="18"/>
              </w:rPr>
              <w:t>Curitiba</w:t>
            </w:r>
            <w:r w:rsidR="00764869" w:rsidRPr="007D5D62">
              <w:rPr>
                <w:rStyle w:val="Refdenotaderodap"/>
                <w:rFonts w:ascii="Arial" w:hAnsi="Arial" w:cs="Arial"/>
                <w:color w:val="000000" w:themeColor="text1"/>
                <w:sz w:val="20"/>
                <w:szCs w:val="18"/>
                <w:vertAlign w:val="baseline"/>
              </w:rPr>
              <w:footnoteReference w:customMarkFollows="1" w:id="1"/>
              <w:sym w:font="Symbol" w:char="F02A"/>
            </w:r>
          </w:p>
        </w:tc>
      </w:tr>
    </w:tbl>
    <w:p w14:paraId="5A0DF651" w14:textId="0FCF39F9" w:rsidR="00E53FB5" w:rsidRPr="0004061A" w:rsidRDefault="00550246" w:rsidP="00933DA6">
      <w:pPr>
        <w:pStyle w:val="Normal1"/>
        <w:spacing w:before="120" w:after="120" w:line="240" w:lineRule="auto"/>
        <w:jc w:val="both"/>
        <w:rPr>
          <w:rFonts w:eastAsia="Times New Roman"/>
          <w:sz w:val="20"/>
          <w:szCs w:val="20"/>
        </w:rPr>
      </w:pPr>
      <w:r w:rsidRPr="002A1AF4">
        <w:rPr>
          <w:rFonts w:ascii="Arial Black" w:hAnsi="Arial Black"/>
          <w:color w:val="C00000"/>
          <w:sz w:val="20"/>
          <w:szCs w:val="20"/>
        </w:rPr>
        <w:t>Resumo:</w:t>
      </w:r>
      <w:r w:rsidRPr="002A1AF4">
        <w:rPr>
          <w:rFonts w:ascii="Roboto" w:hAnsi="Roboto"/>
          <w:b/>
          <w:color w:val="C00000"/>
          <w:sz w:val="20"/>
          <w:szCs w:val="20"/>
        </w:rPr>
        <w:t xml:space="preserve"> </w:t>
      </w:r>
      <w:r w:rsidR="0004061A" w:rsidRPr="00933DA6">
        <w:rPr>
          <w:rFonts w:eastAsia="Times New Roman"/>
          <w:sz w:val="18"/>
          <w:szCs w:val="18"/>
        </w:rPr>
        <w:t xml:space="preserve">O objetivo desta pesquisa em andamento </w:t>
      </w:r>
      <w:r w:rsidR="00907343" w:rsidRPr="00933DA6">
        <w:rPr>
          <w:rFonts w:eastAsia="Times New Roman"/>
          <w:sz w:val="18"/>
          <w:szCs w:val="18"/>
        </w:rPr>
        <w:t xml:space="preserve">se debruça sobre uma discussão teórica dos processos formativos docentes, o qual deve levar mão da exclusivamente dos conteúdos teóricos, mas ao mesmo tempo consideras os sabres práticos do professorado. </w:t>
      </w:r>
      <w:r w:rsidR="00933DA6" w:rsidRPr="00933DA6">
        <w:rPr>
          <w:sz w:val="18"/>
          <w:szCs w:val="18"/>
        </w:rPr>
        <w:t xml:space="preserve">Discute-se que tal </w:t>
      </w:r>
      <w:r w:rsidR="00933DA6" w:rsidRPr="00933DA6">
        <w:rPr>
          <w:i/>
          <w:sz w:val="18"/>
          <w:szCs w:val="18"/>
        </w:rPr>
        <w:t>práxis</w:t>
      </w:r>
      <w:r w:rsidR="00933DA6" w:rsidRPr="00933DA6">
        <w:rPr>
          <w:sz w:val="18"/>
          <w:szCs w:val="18"/>
        </w:rPr>
        <w:t xml:space="preserve"> integrada aos processos sociais, constitui-se espaço e tempo de formação continuada para os formadores vão produzindo sua prática docente e se constituindo profissional. Diante o exposto, o trabalho é exploratório, fundamentando em uma pesquisa bibliográfica, e busca refletir a importância sobre os contextos acadêmico e político de formação continuada, que evidenciem espaços de reflexão sobre o envolvimento de professores no e na formação de docente. O estudo traz um à tona da necessidade de conhecer os espaços de reflexão sobre as aprendizagens docentes constituídos na prática pedagógica de formadores, da qual os formadores participam realizando sua atividade docente. </w:t>
      </w:r>
    </w:p>
    <w:p w14:paraId="15AC60EB" w14:textId="208234C7" w:rsidR="0016374F" w:rsidRDefault="00896834" w:rsidP="0016374F">
      <w:pPr>
        <w:pStyle w:val="Subttulo"/>
        <w:tabs>
          <w:tab w:val="left" w:pos="3840"/>
        </w:tabs>
        <w:spacing w:after="240" w:line="240" w:lineRule="auto"/>
        <w:ind w:firstLine="0"/>
        <w:rPr>
          <w:sz w:val="20"/>
          <w:szCs w:val="20"/>
        </w:rPr>
      </w:pPr>
      <w:r w:rsidRPr="00915DD9">
        <w:rPr>
          <w:rFonts w:ascii="Arial Black" w:hAnsi="Arial Black"/>
          <w:b/>
          <w:bCs/>
          <w:color w:val="C00000"/>
          <w:sz w:val="20"/>
          <w:szCs w:val="20"/>
        </w:rPr>
        <w:t>Palavras-chave:</w:t>
      </w:r>
      <w:r w:rsidRPr="00915DD9">
        <w:rPr>
          <w:rFonts w:ascii="Roboto" w:hAnsi="Roboto"/>
          <w:color w:val="C00000"/>
          <w:sz w:val="20"/>
          <w:szCs w:val="20"/>
        </w:rPr>
        <w:t xml:space="preserve">  </w:t>
      </w:r>
      <w:r w:rsidR="00907343">
        <w:rPr>
          <w:rFonts w:ascii="Arial" w:hAnsi="Arial" w:cs="Arial"/>
          <w:sz w:val="20"/>
          <w:szCs w:val="20"/>
        </w:rPr>
        <w:t>Formação docente. Saberes. Processo formativos</w:t>
      </w:r>
      <w:r w:rsidR="0016374F" w:rsidRPr="007E2620">
        <w:rPr>
          <w:rFonts w:ascii="Arial" w:hAnsi="Arial" w:cs="Arial"/>
          <w:sz w:val="20"/>
          <w:szCs w:val="20"/>
        </w:rPr>
        <w:t>.</w:t>
      </w:r>
      <w:r w:rsidR="0016374F" w:rsidRPr="007E2620">
        <w:rPr>
          <w:sz w:val="20"/>
          <w:szCs w:val="20"/>
        </w:rPr>
        <w:t xml:space="preserve"> </w:t>
      </w:r>
    </w:p>
    <w:p w14:paraId="0D68B844" w14:textId="110EC54E" w:rsidR="00570953" w:rsidRDefault="00764869" w:rsidP="0016374F">
      <w:pPr>
        <w:pStyle w:val="Subttulo"/>
        <w:tabs>
          <w:tab w:val="left" w:pos="3840"/>
        </w:tabs>
        <w:spacing w:after="240" w:line="240" w:lineRule="auto"/>
        <w:ind w:firstLine="0"/>
        <w:rPr>
          <w:rFonts w:ascii="Arial Black" w:hAnsi="Arial Black" w:cs="Arial"/>
          <w:color w:val="C00000"/>
          <w:szCs w:val="32"/>
        </w:rPr>
      </w:pPr>
      <w:r w:rsidRPr="00F71CC4">
        <w:rPr>
          <w:rFonts w:ascii="Arial Black" w:hAnsi="Arial Black" w:cs="Arial"/>
          <w:color w:val="C00000"/>
          <w:szCs w:val="32"/>
        </w:rPr>
        <w:t>Introdução</w:t>
      </w:r>
    </w:p>
    <w:p w14:paraId="3EF0BEE0" w14:textId="77777777" w:rsidR="00495708" w:rsidRPr="00495708" w:rsidRDefault="00495708" w:rsidP="00495708">
      <w:pPr>
        <w:spacing w:line="360" w:lineRule="auto"/>
        <w:jc w:val="both"/>
        <w:rPr>
          <w:rFonts w:ascii="Arial" w:hAnsi="Arial" w:cs="Arial"/>
          <w:szCs w:val="24"/>
        </w:rPr>
      </w:pPr>
      <w:r w:rsidRPr="00495708">
        <w:rPr>
          <w:rFonts w:ascii="Arial" w:hAnsi="Arial" w:cs="Arial"/>
          <w:szCs w:val="24"/>
        </w:rPr>
        <w:t>A aprendizagem é concebida neste estudo como um descritor do desenvolvimento profissional docente, assim como as políticas, os contextos e os processos formativos. Desse modo, os formadores, ao aprenderem sobre a atividade docente, ou refletirem sobre como aprendem a ser professor no contexto da prática pedagógica estaria</w:t>
      </w:r>
      <w:permStart w:id="490756892" w:edGrp="everyone"/>
      <w:permEnd w:id="490756892"/>
      <w:r w:rsidRPr="00495708">
        <w:rPr>
          <w:rFonts w:ascii="Arial" w:hAnsi="Arial" w:cs="Arial"/>
          <w:szCs w:val="24"/>
        </w:rPr>
        <w:t xml:space="preserve">m em processo de formação continuada, seja esta induzida ou automotivada. A aprendizagem da docência e os processos institucionais nos quais pode ocorrer se constituem em descritor para compreender e fazer avançar a formação docente. </w:t>
      </w:r>
    </w:p>
    <w:p w14:paraId="34D772DD" w14:textId="77777777" w:rsidR="00495708" w:rsidRPr="00495708" w:rsidRDefault="00495708" w:rsidP="00495708">
      <w:pPr>
        <w:spacing w:line="360" w:lineRule="auto"/>
        <w:jc w:val="both"/>
        <w:rPr>
          <w:rFonts w:ascii="Arial" w:hAnsi="Arial" w:cs="Arial"/>
          <w:szCs w:val="24"/>
        </w:rPr>
      </w:pPr>
      <w:r w:rsidRPr="00495708">
        <w:rPr>
          <w:rFonts w:ascii="Arial" w:hAnsi="Arial" w:cs="Arial"/>
          <w:szCs w:val="24"/>
        </w:rPr>
        <w:t>A questão central de que trata este estudo refere-a formação docente continuada que promovem o desenvolvimento profissional e organizam-se em torno da reflexão coletiva sobre as necessidades dos professores e das instituições. Dados os novos tempos, as formações requerem espaços inovativos, ao passo que, alertam os docentes a se inserirem na prática pedagógica, assumindo papéis, mais amplos do que apenas ensinar conteúdo específico, e posturas que o desafiam, estimulando novas aprendizagens.</w:t>
      </w:r>
    </w:p>
    <w:p w14:paraId="20CDD0B2" w14:textId="677A2E0B" w:rsidR="009D22C1" w:rsidRDefault="00082892" w:rsidP="00F62118">
      <w:pPr>
        <w:spacing w:before="240" w:after="240" w:line="240" w:lineRule="auto"/>
        <w:rPr>
          <w:rFonts w:ascii="Arial Black" w:hAnsi="Arial Black"/>
          <w:color w:val="C00000"/>
          <w:sz w:val="24"/>
          <w:szCs w:val="28"/>
        </w:rPr>
      </w:pPr>
      <w:r>
        <w:rPr>
          <w:rFonts w:ascii="Arial Black" w:hAnsi="Arial Black"/>
          <w:color w:val="C00000"/>
          <w:sz w:val="24"/>
          <w:szCs w:val="28"/>
        </w:rPr>
        <w:t>Materiais e métodos</w:t>
      </w:r>
    </w:p>
    <w:p w14:paraId="0F8A1BF8" w14:textId="7F11566C" w:rsidR="00933DA6" w:rsidRDefault="00495708" w:rsidP="00933DA6">
      <w:pPr>
        <w:spacing w:line="360" w:lineRule="auto"/>
        <w:jc w:val="both"/>
        <w:rPr>
          <w:rFonts w:ascii="Arial" w:hAnsi="Arial" w:cs="Arial"/>
          <w:szCs w:val="24"/>
        </w:rPr>
      </w:pPr>
      <w:r w:rsidRPr="00495708">
        <w:rPr>
          <w:rFonts w:ascii="Arial" w:hAnsi="Arial" w:cs="Arial"/>
          <w:szCs w:val="24"/>
        </w:rPr>
        <w:t>Este estudo se desenvolve</w:t>
      </w:r>
      <w:r w:rsidR="00933DA6">
        <w:rPr>
          <w:rFonts w:ascii="Arial" w:hAnsi="Arial" w:cs="Arial"/>
          <w:szCs w:val="24"/>
        </w:rPr>
        <w:t>u n</w:t>
      </w:r>
      <w:r w:rsidRPr="00495708">
        <w:rPr>
          <w:rFonts w:ascii="Arial" w:hAnsi="Arial" w:cs="Arial"/>
          <w:szCs w:val="24"/>
        </w:rPr>
        <w:t xml:space="preserve">a disciplina Formação docente, currículo e práticas pedagógicas do Programa de Pós-Graduação de Educação da Universidade Federal do Paraná, o qual se faz discussão teórica a respeito da formação docente. </w:t>
      </w:r>
      <w:r w:rsidR="00907343">
        <w:rPr>
          <w:rFonts w:ascii="Arial" w:hAnsi="Arial" w:cs="Arial"/>
          <w:szCs w:val="24"/>
        </w:rPr>
        <w:t>E</w:t>
      </w:r>
      <w:r w:rsidR="00907343" w:rsidRPr="00495708">
        <w:rPr>
          <w:rFonts w:ascii="Arial" w:hAnsi="Arial" w:cs="Arial"/>
          <w:szCs w:val="24"/>
        </w:rPr>
        <w:t xml:space="preserve">ste trabalho </w:t>
      </w:r>
      <w:r w:rsidR="00933DA6">
        <w:rPr>
          <w:rFonts w:ascii="Arial" w:hAnsi="Arial" w:cs="Arial"/>
          <w:szCs w:val="24"/>
        </w:rPr>
        <w:t xml:space="preserve">é </w:t>
      </w:r>
      <w:r w:rsidR="00907343" w:rsidRPr="00495708">
        <w:rPr>
          <w:rFonts w:ascii="Arial" w:hAnsi="Arial" w:cs="Arial"/>
          <w:szCs w:val="24"/>
        </w:rPr>
        <w:t xml:space="preserve">exploratório </w:t>
      </w:r>
      <w:r w:rsidR="00933DA6">
        <w:rPr>
          <w:rFonts w:ascii="Arial" w:hAnsi="Arial" w:cs="Arial"/>
          <w:szCs w:val="24"/>
        </w:rPr>
        <w:t xml:space="preserve">e </w:t>
      </w:r>
      <w:r w:rsidR="00907343" w:rsidRPr="00495708">
        <w:rPr>
          <w:rFonts w:ascii="Arial" w:hAnsi="Arial" w:cs="Arial"/>
          <w:szCs w:val="24"/>
        </w:rPr>
        <w:t xml:space="preserve">busca </w:t>
      </w:r>
      <w:r w:rsidR="00907343" w:rsidRPr="00495708">
        <w:rPr>
          <w:rFonts w:ascii="Arial" w:hAnsi="Arial" w:cs="Arial"/>
          <w:szCs w:val="24"/>
        </w:rPr>
        <w:lastRenderedPageBreak/>
        <w:t>refletir a importância sobre os contextos acadêmico e político de formação continuada, que evidenciem espaços de reflexão sobre o envolvimento de professores no e na formação de docente. Para atender ao objetivo, a presente investigação utilizou para abordage</w:t>
      </w:r>
      <w:r w:rsidR="00933DA6">
        <w:rPr>
          <w:rFonts w:ascii="Arial" w:hAnsi="Arial" w:cs="Arial"/>
          <w:szCs w:val="24"/>
        </w:rPr>
        <w:t xml:space="preserve">m argumentativa e interpretação se fundamentando em uma pesquisa bibliográfica. </w:t>
      </w:r>
    </w:p>
    <w:p w14:paraId="2A4934EF" w14:textId="323AA9A0" w:rsidR="00566A42" w:rsidRPr="00F71CC4" w:rsidRDefault="00082892" w:rsidP="00933DA6">
      <w:pPr>
        <w:spacing w:line="360" w:lineRule="auto"/>
        <w:jc w:val="both"/>
        <w:rPr>
          <w:rFonts w:ascii="Arial Black" w:hAnsi="Arial Black"/>
          <w:color w:val="C00000"/>
          <w:sz w:val="24"/>
          <w:szCs w:val="24"/>
        </w:rPr>
      </w:pPr>
      <w:r>
        <w:rPr>
          <w:rFonts w:ascii="Arial Black" w:hAnsi="Arial Black"/>
          <w:color w:val="C00000"/>
          <w:sz w:val="24"/>
          <w:szCs w:val="24"/>
        </w:rPr>
        <w:t>Discussão dos resultados</w:t>
      </w:r>
    </w:p>
    <w:p w14:paraId="160CABDB" w14:textId="77777777" w:rsidR="00495708" w:rsidRPr="00495708" w:rsidRDefault="00495708" w:rsidP="00083E74">
      <w:pPr>
        <w:spacing w:line="360" w:lineRule="auto"/>
        <w:jc w:val="both"/>
        <w:rPr>
          <w:rFonts w:ascii="Arial" w:hAnsi="Arial" w:cs="Arial"/>
          <w:szCs w:val="24"/>
        </w:rPr>
      </w:pPr>
      <w:bookmarkStart w:id="0" w:name="_Hlk518287225"/>
      <w:r w:rsidRPr="00495708">
        <w:rPr>
          <w:rFonts w:ascii="Arial" w:hAnsi="Arial" w:cs="Arial"/>
          <w:szCs w:val="24"/>
        </w:rPr>
        <w:t>Discorrer em formação para docentes tende a uma reflexão sobre os saberes da docência, pois estes permeiam não somente as bases dos cursos de formação, mas todo o percurso escolar dos professores formados ou em formação, os quais adquirem ao longo de suas vivências enquanto estudantes até suas experiências no desenvolvimento de prática docente.</w:t>
      </w:r>
    </w:p>
    <w:p w14:paraId="7F29B770" w14:textId="77777777" w:rsidR="00495708" w:rsidRPr="00495708" w:rsidRDefault="00495708" w:rsidP="00083E74">
      <w:pPr>
        <w:spacing w:line="360" w:lineRule="auto"/>
        <w:jc w:val="both"/>
        <w:rPr>
          <w:rFonts w:ascii="Arial" w:hAnsi="Arial" w:cs="Arial"/>
          <w:szCs w:val="24"/>
        </w:rPr>
      </w:pPr>
      <w:r w:rsidRPr="00495708">
        <w:rPr>
          <w:rFonts w:ascii="Arial" w:hAnsi="Arial" w:cs="Arial"/>
          <w:szCs w:val="24"/>
        </w:rPr>
        <w:t>Os saberes docentes são considerados importantes não só na formação do professor, mas também em sua prática, pois estes já trazem consigo os saberes pessoais e culturais, e durante a formação adquirem novos saberes inerentes à área de conhecimento do curso em formação. E, constroem outros saberes através de sua prática docente, no sentido de complementar sua formação por meio de suas experiências na aplicação dos conhecimentos e saberes teóricos e práticos adquiridos e/ou construídos ao longo da atuação (SILVA, 2009).</w:t>
      </w:r>
    </w:p>
    <w:p w14:paraId="0C951EB3" w14:textId="01C06B38" w:rsidR="00495708" w:rsidRPr="00495708" w:rsidRDefault="00495708" w:rsidP="00083E74">
      <w:pPr>
        <w:spacing w:line="360" w:lineRule="auto"/>
        <w:jc w:val="both"/>
        <w:rPr>
          <w:rFonts w:ascii="Arial" w:hAnsi="Arial" w:cs="Arial"/>
          <w:szCs w:val="24"/>
        </w:rPr>
      </w:pPr>
      <w:r w:rsidRPr="00495708">
        <w:rPr>
          <w:rFonts w:ascii="Arial" w:hAnsi="Arial" w:cs="Arial"/>
          <w:szCs w:val="24"/>
        </w:rPr>
        <w:t>Para Tardif (2000), o saber que o professor obtém ao longo da vida escolar, traz consigo as premissas do que seja ensinar, pois nos anos iniciais de estudo o aluno vivencia profundamente o aprendizado. Posteriormente, com a necessidade por realizar cursos de formação em universidades, os novos saberes adquiridos serão complementares somarão aos seus conhecimentos já adquiridos.</w:t>
      </w:r>
      <w:r w:rsidR="00C83712">
        <w:rPr>
          <w:rFonts w:ascii="Arial" w:hAnsi="Arial" w:cs="Arial"/>
          <w:szCs w:val="24"/>
        </w:rPr>
        <w:t xml:space="preserve"> </w:t>
      </w:r>
      <w:r w:rsidRPr="00495708">
        <w:rPr>
          <w:rFonts w:ascii="Arial" w:hAnsi="Arial" w:cs="Arial"/>
          <w:szCs w:val="24"/>
        </w:rPr>
        <w:t>Ainda segundo o autor supracitado, identifica que os saberes experienciais, estes são os saberes que resultam do próprio exercício da atividade profissional dos professores, iniciando-se ainda durante sua formação profissional. Os docentes produzem esses saberes através das situações de aprendizagem vivenciadas na sala de aula e na escola.</w:t>
      </w:r>
    </w:p>
    <w:p w14:paraId="32F60761" w14:textId="73442280" w:rsidR="00495708" w:rsidRPr="00495708" w:rsidRDefault="006B12E4" w:rsidP="00083E74">
      <w:pPr>
        <w:spacing w:line="360" w:lineRule="auto"/>
        <w:jc w:val="both"/>
        <w:rPr>
          <w:rFonts w:ascii="Arial" w:hAnsi="Arial" w:cs="Arial"/>
          <w:szCs w:val="24"/>
        </w:rPr>
      </w:pPr>
      <w:r w:rsidRPr="00495708">
        <w:rPr>
          <w:rFonts w:ascii="Arial" w:hAnsi="Arial" w:cs="Arial"/>
          <w:szCs w:val="24"/>
        </w:rPr>
        <w:t>O pluralismo dos saberes docentes compõe</w:t>
      </w:r>
      <w:r w:rsidR="00495708" w:rsidRPr="00495708">
        <w:rPr>
          <w:rFonts w:ascii="Arial" w:hAnsi="Arial" w:cs="Arial"/>
          <w:szCs w:val="24"/>
        </w:rPr>
        <w:t xml:space="preserve"> um conjunto de saberes da curriculares, experienciais </w:t>
      </w:r>
      <w:r w:rsidRPr="00495708">
        <w:rPr>
          <w:rFonts w:ascii="Arial" w:hAnsi="Arial" w:cs="Arial"/>
          <w:szCs w:val="24"/>
        </w:rPr>
        <w:t>e</w:t>
      </w:r>
      <w:r w:rsidR="00495708" w:rsidRPr="00495708">
        <w:rPr>
          <w:rFonts w:ascii="Arial" w:hAnsi="Arial" w:cs="Arial"/>
          <w:szCs w:val="24"/>
        </w:rPr>
        <w:t xml:space="preserve"> profissionais, logo, se tornam imprescindíveis para a formação e profissionalização do professor. O saber do professor para a atividade pratica, levando as mais diversas situações no cotidiano da escola como um todo, deve penetrar no conhecimento </w:t>
      </w:r>
      <w:r w:rsidRPr="00495708">
        <w:rPr>
          <w:rFonts w:ascii="Arial" w:hAnsi="Arial" w:cs="Arial"/>
          <w:szCs w:val="24"/>
        </w:rPr>
        <w:t>científico</w:t>
      </w:r>
      <w:r w:rsidR="00495708" w:rsidRPr="00495708">
        <w:rPr>
          <w:rFonts w:ascii="Arial" w:hAnsi="Arial" w:cs="Arial"/>
          <w:szCs w:val="24"/>
        </w:rPr>
        <w:t xml:space="preserve"> e, ao mesmo tempo, levar em consideração os conhecimentos adquiridos e produzidos durante sua vida, seja ela profissional como tanto pessoal. Deste modo, a formação docente embasada nos saberes científicos (teóricos e práticos) agrupada a uma prática edificada sob a ótica dos múltiplos saberes da docência, compõe uma formação profissional mais completa, proporcionando elementos significativos ao exercício da prática docente. </w:t>
      </w:r>
    </w:p>
    <w:p w14:paraId="2385D833" w14:textId="77777777" w:rsidR="00495708" w:rsidRPr="00495708" w:rsidRDefault="00495708" w:rsidP="00083E74">
      <w:pPr>
        <w:spacing w:line="360" w:lineRule="auto"/>
        <w:jc w:val="both"/>
        <w:rPr>
          <w:rFonts w:ascii="Arial" w:hAnsi="Arial" w:cs="Arial"/>
          <w:szCs w:val="24"/>
        </w:rPr>
      </w:pPr>
      <w:r w:rsidRPr="00495708">
        <w:rPr>
          <w:rFonts w:ascii="Arial" w:hAnsi="Arial" w:cs="Arial"/>
          <w:szCs w:val="24"/>
        </w:rPr>
        <w:t xml:space="preserve">A complexidade da formação docente, perpassa pelo conjunto de saberes técnicos e teóricos que o docente adquire ao longo de sua formação, contudo, ficam distantes da realidade do </w:t>
      </w:r>
      <w:r w:rsidRPr="00495708">
        <w:rPr>
          <w:rFonts w:ascii="Arial" w:hAnsi="Arial" w:cs="Arial"/>
          <w:szCs w:val="24"/>
        </w:rPr>
        <w:lastRenderedPageBreak/>
        <w:t xml:space="preserve">ambiente profissional que atuará. A prática da atividade docente há uma gama de saberes práticos que são distantes da formação cientifica, pois aqueles não se aprendem na academia, uma vez que, as situações adversas e conflituosas o docente traz à tona os saberes próprios /ou aqueles provenientes de suas experienciais. Em outras palavras, os saberes pedagógicos também são aqueles que se desenvolvem na vivência do cotidiano escolar e, sobretudo, no ambiente da sala de aula, que são tão importantes quanto os saberes teóricos aprendidos na formação acadêmica (SILVA, 2009). </w:t>
      </w:r>
    </w:p>
    <w:p w14:paraId="60C3ECB3" w14:textId="77777777" w:rsidR="00495708" w:rsidRPr="00495708" w:rsidRDefault="00495708" w:rsidP="00083E74">
      <w:pPr>
        <w:spacing w:line="360" w:lineRule="auto"/>
        <w:jc w:val="both"/>
        <w:rPr>
          <w:rFonts w:ascii="Arial" w:hAnsi="Arial" w:cs="Arial"/>
          <w:szCs w:val="24"/>
        </w:rPr>
      </w:pPr>
      <w:r w:rsidRPr="00495708">
        <w:rPr>
          <w:rFonts w:ascii="Arial" w:hAnsi="Arial" w:cs="Arial"/>
          <w:szCs w:val="24"/>
        </w:rPr>
        <w:t>Portanto, a formação do professor deve contemplar, além da compreensão de seus saberes teóricos e práticos para o desenvolvimento de sua profissão docente, suas características pessoais para enfrentar e resolver as adversidades de que é constituído o fazer pedagógico. Bem como lhe proporcionar a reflexão sobre sua ação docente no sentido de avaliá-la e, consequentemente, melhorá-la.</w:t>
      </w:r>
    </w:p>
    <w:p w14:paraId="113B06C9" w14:textId="66B5690F" w:rsidR="00495708" w:rsidRPr="00495708" w:rsidRDefault="00495708" w:rsidP="00083E74">
      <w:pPr>
        <w:spacing w:line="360" w:lineRule="auto"/>
        <w:jc w:val="both"/>
        <w:rPr>
          <w:rFonts w:ascii="Arial" w:hAnsi="Arial" w:cs="Arial"/>
          <w:szCs w:val="24"/>
        </w:rPr>
      </w:pPr>
      <w:r w:rsidRPr="00495708">
        <w:rPr>
          <w:rFonts w:ascii="Arial" w:hAnsi="Arial" w:cs="Arial"/>
          <w:szCs w:val="24"/>
        </w:rPr>
        <w:t>Diante disso, percebe-se que a profissão docente requer uma formação também complexa, mas contínua, visto que saber ensinar é um processo contínuo e em constante mudança. Para tanto, os cursos de formação devem levar em consideração todos os saberes que o docente já traz consigo, desde suas vivências enquanto alunos, seus conhecimentos técnicos, teóricos e práticos e, seus saberes experiências construídos no exercício de sua prática. Nesse sentido, é preciso repensar a formação para professores no sentido de sua extensão para além das instituições formadoras, como nas escolas onde o futuro professor atuará. Assim, a formação docente ocorrerá de fato com os cursos de formação continuada e, principalmente, na sala de aula, que é o espaço de aprendizagem onde o aluno ensina ao professor a aprender a ensinar.</w:t>
      </w:r>
    </w:p>
    <w:p w14:paraId="2D2721E9" w14:textId="53C19EBE" w:rsidR="00495708" w:rsidRPr="00495708" w:rsidRDefault="00495708" w:rsidP="00083E74">
      <w:pPr>
        <w:spacing w:line="360" w:lineRule="auto"/>
        <w:jc w:val="both"/>
        <w:rPr>
          <w:rFonts w:ascii="Arial" w:hAnsi="Arial" w:cs="Arial"/>
          <w:szCs w:val="24"/>
        </w:rPr>
      </w:pPr>
      <w:r w:rsidRPr="00495708">
        <w:rPr>
          <w:rFonts w:ascii="Arial" w:hAnsi="Arial" w:cs="Arial"/>
          <w:szCs w:val="24"/>
        </w:rPr>
        <w:t xml:space="preserve">Tardif (2014), alude que os saberes para o ofício do docente são inequívocos a sua formação constituídos desde a sua etapa escolar até a universidade, perpassando também pelo contato com os professores com notória prática docente e das realidades implicadas no cotidiano do trabalho. A formação docente deve olhar para o contexto do trabalho ao levar em consideração a identidade do professorado, as experiências e a sua história de vida. Não se pode deixar as relações sociais que estão intrinsicamente ligadas entre o professor e demais agentes vivos, sobretudo das relações com os alunos. </w:t>
      </w:r>
    </w:p>
    <w:p w14:paraId="514CA383" w14:textId="77777777" w:rsidR="00495708" w:rsidRPr="00495708" w:rsidRDefault="00495708" w:rsidP="00083E74">
      <w:pPr>
        <w:spacing w:line="360" w:lineRule="auto"/>
        <w:jc w:val="both"/>
        <w:rPr>
          <w:rFonts w:ascii="Arial" w:hAnsi="Arial" w:cs="Arial"/>
          <w:szCs w:val="24"/>
        </w:rPr>
      </w:pPr>
      <w:r w:rsidRPr="00495708">
        <w:rPr>
          <w:rFonts w:ascii="Arial" w:hAnsi="Arial" w:cs="Arial"/>
          <w:szCs w:val="24"/>
        </w:rPr>
        <w:t>S</w:t>
      </w:r>
      <w:r w:rsidRPr="00495708">
        <w:rPr>
          <w:rFonts w:ascii="Arial" w:hAnsi="Arial" w:cs="Arial"/>
          <w:color w:val="282828"/>
          <w:szCs w:val="24"/>
        </w:rPr>
        <w:t>ob este pressuposto</w:t>
      </w:r>
      <w:r w:rsidRPr="00495708">
        <w:rPr>
          <w:rFonts w:ascii="Arial" w:hAnsi="Arial" w:cs="Arial"/>
          <w:color w:val="191919"/>
          <w:szCs w:val="24"/>
        </w:rPr>
        <w:t>, o</w:t>
      </w:r>
      <w:r w:rsidRPr="00495708">
        <w:rPr>
          <w:rFonts w:ascii="Arial" w:hAnsi="Arial" w:cs="Arial"/>
          <w:szCs w:val="24"/>
        </w:rPr>
        <w:t xml:space="preserve">s processos formativos, cujos objetivos são relacionados ao desenvolvimento dos professores, são empreendidos tanto por eles próprios a partir da sua prática, quanto pelos governos, com base em necessidades permanentes relacionadas ao ensino, ao currículo, às escolas, à aprendizagem e aos estudantes (SOUZA, 1996). Corroborando com o pensamento, Silva (2009), diz que, com finalidades flutuantes, os processos de desenvolvimento dos professores podem ocorrer de maneira autônoma, na qual o professor busca o conhecimento e, a partir de programas de formação continuada, cujo </w:t>
      </w:r>
      <w:r w:rsidRPr="00495708">
        <w:rPr>
          <w:rFonts w:ascii="Arial" w:hAnsi="Arial" w:cs="Arial"/>
          <w:szCs w:val="24"/>
        </w:rPr>
        <w:lastRenderedPageBreak/>
        <w:t>interesse na constituição dos conhecimentos que os professores devem se apropriar orientam os currículos de formação de professores.</w:t>
      </w:r>
    </w:p>
    <w:p w14:paraId="4F6F8EF8" w14:textId="77777777" w:rsidR="00495708" w:rsidRPr="00495708" w:rsidRDefault="00495708" w:rsidP="00083E74">
      <w:pPr>
        <w:spacing w:line="360" w:lineRule="auto"/>
        <w:jc w:val="both"/>
        <w:rPr>
          <w:rFonts w:ascii="Arial" w:hAnsi="Arial" w:cs="Arial"/>
          <w:szCs w:val="24"/>
        </w:rPr>
      </w:pPr>
      <w:r w:rsidRPr="00495708">
        <w:rPr>
          <w:rFonts w:ascii="Arial" w:hAnsi="Arial" w:cs="Arial"/>
          <w:szCs w:val="24"/>
        </w:rPr>
        <w:t>A eficácia da formação profissional dos docentes não depende apenas dos cursos de formação inicial e/ou continuada, mas de toda a sua carreira escolar. Assim, a base dessa formação são os saberes adquiridos e construídos que permeiam o seu fazer pedagógico. Por isso, sugere-se para os cursos de formação de professores uma nova articulação e um novo equilíbrio entre os conhecimentos produzidos pelas universidades a respeito do ensino e dos saberes desenvolvidos pelos professores em suas práticas cotidianas (TARDIF, 2014).</w:t>
      </w:r>
    </w:p>
    <w:p w14:paraId="05CC91EB" w14:textId="77777777" w:rsidR="00495708" w:rsidRPr="00495708" w:rsidRDefault="00495708" w:rsidP="00083E74">
      <w:pPr>
        <w:spacing w:line="360" w:lineRule="auto"/>
        <w:jc w:val="both"/>
        <w:rPr>
          <w:rFonts w:ascii="Arial" w:hAnsi="Arial" w:cs="Arial"/>
          <w:szCs w:val="24"/>
        </w:rPr>
      </w:pPr>
      <w:r w:rsidRPr="00495708">
        <w:rPr>
          <w:rFonts w:ascii="Arial" w:hAnsi="Arial" w:cs="Arial"/>
          <w:szCs w:val="24"/>
        </w:rPr>
        <w:t>Dentre os elementos que caracterizam a formação continuada, os conhecimentos dos professores, de acordo com Souza (1996) podem ser estudados, classificados e tipificados. E destacam que as experiências e saberes são constituídos na prática integram os saberes docentes demonstrando, como Tardif (2000), que o conhecimento profissional da docência é plural, multifacetado e, por isso, complexo e amplo.</w:t>
      </w:r>
    </w:p>
    <w:p w14:paraId="1406A556" w14:textId="77777777" w:rsidR="00495708" w:rsidRPr="00495708" w:rsidRDefault="00495708" w:rsidP="00083E74">
      <w:pPr>
        <w:spacing w:line="360" w:lineRule="auto"/>
        <w:jc w:val="both"/>
        <w:rPr>
          <w:rFonts w:ascii="Arial" w:hAnsi="Arial" w:cs="Arial"/>
          <w:szCs w:val="24"/>
        </w:rPr>
      </w:pPr>
      <w:r w:rsidRPr="00495708">
        <w:rPr>
          <w:rFonts w:ascii="Arial" w:hAnsi="Arial" w:cs="Arial"/>
          <w:szCs w:val="24"/>
        </w:rPr>
        <w:t xml:space="preserve">Com isso, tem-se a perspectiva da formação dos professores Tardif (2014) elenca três considerações. A primeira é associada ao reconhecimento dos professores como sujeitos de conhecimentos com direito ter fala acerca de sua própria formação profissional, pois são estes que estão dentro da sala de aula que conhecem a realidade do oficio. A segunda é basear a formação considerando os conhecimentos específicos da atuação docente, em outras palavras, é relacionar a formação com a pratica real da atividade. E a terceira perspectiva é ligada de reconhecer os professores como sujeitos de conhecimento, condicionando estratégias de formação reais na ação legítima e cotidiana do trabalho. </w:t>
      </w:r>
    </w:p>
    <w:p w14:paraId="5E019A39" w14:textId="77777777" w:rsidR="00495708" w:rsidRPr="00495708" w:rsidRDefault="00495708" w:rsidP="00083E74">
      <w:pPr>
        <w:spacing w:line="360" w:lineRule="auto"/>
        <w:jc w:val="both"/>
        <w:rPr>
          <w:rFonts w:ascii="Arial" w:hAnsi="Arial" w:cs="Arial"/>
          <w:szCs w:val="24"/>
        </w:rPr>
      </w:pPr>
      <w:r w:rsidRPr="00495708">
        <w:rPr>
          <w:rFonts w:ascii="Arial" w:hAnsi="Arial" w:cs="Arial"/>
          <w:szCs w:val="24"/>
        </w:rPr>
        <w:t>Privilegiar as concepções do espaço cotidiano do trabalho docente, nas lentes Souza (1996), é vivenciar as diferenças, as semelhanças, as contradições intrínsecas do ambiente. Essa heterogeneidade do trabalho ressignifica a condição das relações sociais presentes na atuação do ofício docente. Além de prover da história de vida dos indivíduos e de sua história escolar.</w:t>
      </w:r>
    </w:p>
    <w:p w14:paraId="7E866F92" w14:textId="77777777" w:rsidR="00495708" w:rsidRPr="00495708" w:rsidRDefault="00495708" w:rsidP="00083E74">
      <w:pPr>
        <w:spacing w:line="360" w:lineRule="auto"/>
        <w:jc w:val="both"/>
        <w:rPr>
          <w:rFonts w:ascii="Arial" w:hAnsi="Arial" w:cs="Arial"/>
          <w:szCs w:val="24"/>
        </w:rPr>
      </w:pPr>
      <w:r w:rsidRPr="00495708">
        <w:rPr>
          <w:rFonts w:ascii="Arial" w:hAnsi="Arial" w:cs="Arial"/>
          <w:szCs w:val="24"/>
        </w:rPr>
        <w:t>Nesse escopo, merecem atenção as definições de políticas públicas dos processos formativos que antes eram centralizados a visão simplistas a lógica e conteúdos disciplinares sem nenhuma conexão prática cotidiana da ação profissional, carecem cada vez mais completar uma formação significativa em voga a aplicação prática do seu ofício, fomentando a realização do exercício da atividade docente de qualidade.</w:t>
      </w:r>
    </w:p>
    <w:p w14:paraId="06731F57" w14:textId="77777777" w:rsidR="00495708" w:rsidRPr="00495708" w:rsidRDefault="00495708" w:rsidP="00083E74">
      <w:pPr>
        <w:spacing w:line="360" w:lineRule="auto"/>
        <w:jc w:val="both"/>
        <w:rPr>
          <w:rFonts w:ascii="Arial" w:hAnsi="Arial" w:cs="Arial"/>
          <w:szCs w:val="24"/>
        </w:rPr>
      </w:pPr>
      <w:r w:rsidRPr="00495708">
        <w:rPr>
          <w:rFonts w:ascii="Arial" w:hAnsi="Arial" w:cs="Arial"/>
          <w:szCs w:val="24"/>
        </w:rPr>
        <w:t>Reconhecer a fragilidade dos cursos de formação, leva a discussão para um processo formativo mais consistente a fim de possibilitar compreender holisticamente o campo de atuação e com aprofundamento as práticas que o cotidiano do oficio pede.</w:t>
      </w:r>
    </w:p>
    <w:p w14:paraId="5E479F2C" w14:textId="2143EA5D" w:rsidR="007D6F2C" w:rsidRDefault="00944AF1" w:rsidP="00A33E25">
      <w:pPr>
        <w:spacing w:before="240" w:after="240" w:line="240" w:lineRule="auto"/>
        <w:ind w:left="-6" w:hanging="11"/>
        <w:jc w:val="both"/>
        <w:rPr>
          <w:rFonts w:ascii="Arial Black" w:hAnsi="Arial Black"/>
          <w:color w:val="C00000"/>
          <w:sz w:val="24"/>
          <w:szCs w:val="28"/>
        </w:rPr>
      </w:pPr>
      <w:r w:rsidRPr="00F71CC4">
        <w:rPr>
          <w:rFonts w:ascii="Arial Black" w:hAnsi="Arial Black"/>
          <w:color w:val="C00000"/>
          <w:sz w:val="24"/>
          <w:szCs w:val="28"/>
        </w:rPr>
        <w:lastRenderedPageBreak/>
        <w:t>Considerações finais</w:t>
      </w:r>
    </w:p>
    <w:bookmarkEnd w:id="0"/>
    <w:p w14:paraId="37534C41" w14:textId="77777777" w:rsidR="00495708" w:rsidRPr="00083E74" w:rsidRDefault="00495708" w:rsidP="00495708">
      <w:pPr>
        <w:spacing w:line="360" w:lineRule="auto"/>
        <w:jc w:val="both"/>
        <w:rPr>
          <w:rFonts w:ascii="Arial" w:hAnsi="Arial" w:cs="Arial"/>
        </w:rPr>
      </w:pPr>
      <w:r w:rsidRPr="00083E74">
        <w:rPr>
          <w:rFonts w:ascii="Arial" w:hAnsi="Arial" w:cs="Arial"/>
        </w:rPr>
        <w:t xml:space="preserve">A literatura e as pesquisas educacionais sobre formação docente têm indicado que se faz necessário, para se formar novos licenciados, currículos e ações que priorizem uma efetiva relação entre teoria e prática. Já é sabido, portando, para a necessidade de se pensar um novo espaço escolar que seja para além do ensino tradicional, mas que fomente aos debates, às reflexões dos conhecimentos, trocas de experiências que devem ser valorizadas à luz de uma formação docente. </w:t>
      </w:r>
    </w:p>
    <w:p w14:paraId="71AFAA42" w14:textId="34DB6EFB" w:rsidR="00495708" w:rsidRPr="00083E74" w:rsidRDefault="00495708" w:rsidP="00495708">
      <w:pPr>
        <w:spacing w:line="360" w:lineRule="auto"/>
        <w:jc w:val="both"/>
        <w:rPr>
          <w:rFonts w:ascii="Arial" w:hAnsi="Arial" w:cs="Arial"/>
        </w:rPr>
      </w:pPr>
      <w:r w:rsidRPr="00083E74">
        <w:rPr>
          <w:rFonts w:ascii="Arial" w:hAnsi="Arial" w:cs="Arial"/>
        </w:rPr>
        <w:t>Nesse contexto, o trabalho realizado, destaca a importância de uma reflexão sobre a formação docente, que nos cursos de formação contemple afora do conhecimento científico. Além disso, buscou-se ponderar que os saberes da docência, estes são imprescindíveis ao fazer da atividade, visto que cada profissão, pois ser professor é ser profissional, há suas caraterísticas apoiadas nos saberes pessoais que em são suporte na experiência profissional ao longo de sua vida.</w:t>
      </w:r>
      <w:r w:rsidR="00C83712">
        <w:rPr>
          <w:rFonts w:ascii="Arial" w:hAnsi="Arial" w:cs="Arial"/>
        </w:rPr>
        <w:t xml:space="preserve"> </w:t>
      </w:r>
      <w:r w:rsidRPr="00083E74">
        <w:rPr>
          <w:rFonts w:ascii="Arial" w:hAnsi="Arial" w:cs="Arial"/>
        </w:rPr>
        <w:t>Assim, ao discutir a visão dicotômica com base em lentes teóricas acerca da formação do professor, identificou-se também as implicações no processo de ensino-aprendizagem dos saberes da docência em sua prática de atividade.  Uma outra análise realizada no trabalho foi a necessidade de ser levado em consideração, dentro da formação docente, a as práticas pedagógicas com base nos saberes da experiência, do conhecimento e dos saberes pedagógicos.</w:t>
      </w:r>
    </w:p>
    <w:p w14:paraId="7B2388F4" w14:textId="77777777" w:rsidR="00495708" w:rsidRPr="00083E74" w:rsidRDefault="00495708" w:rsidP="00495708">
      <w:pPr>
        <w:spacing w:line="360" w:lineRule="auto"/>
        <w:jc w:val="both"/>
        <w:rPr>
          <w:rFonts w:ascii="Arial" w:hAnsi="Arial" w:cs="Arial"/>
        </w:rPr>
      </w:pPr>
      <w:r w:rsidRPr="00083E74">
        <w:rPr>
          <w:rFonts w:ascii="Arial" w:hAnsi="Arial" w:cs="Arial"/>
        </w:rPr>
        <w:t>A problemática do trabalho se debruçou numa dimensão geral acerca do processo de formação docente. Mesmo sabendo que a investigação científica não é nenhuma novidade, muito embora, acredita-se que realizar o mesmo é justificável pelo esforço que visa a contribuições para uma formação docente alinhada aos saberes docente. Sendo assim, trouxe uma reflexão sobre a relação teoria e prática nos cursos de formação docente, com foco a permissão das práticas docentes possibilitando inovações no percurso formativo.</w:t>
      </w:r>
    </w:p>
    <w:p w14:paraId="288065D3" w14:textId="56EA744B" w:rsidR="007D6F2C" w:rsidRPr="00F71CC4" w:rsidRDefault="00944AF1" w:rsidP="00045A91">
      <w:pPr>
        <w:spacing w:before="240" w:after="240" w:line="240" w:lineRule="auto"/>
        <w:jc w:val="both"/>
        <w:rPr>
          <w:rFonts w:ascii="Arial Black" w:hAnsi="Arial Black"/>
          <w:color w:val="C00000"/>
          <w:sz w:val="24"/>
          <w:szCs w:val="24"/>
        </w:rPr>
      </w:pPr>
      <w:r w:rsidRPr="00F71CC4">
        <w:rPr>
          <w:rFonts w:ascii="Arial Black" w:hAnsi="Arial Black"/>
          <w:color w:val="C00000"/>
          <w:sz w:val="24"/>
          <w:szCs w:val="24"/>
        </w:rPr>
        <w:t>Referências</w:t>
      </w:r>
    </w:p>
    <w:p w14:paraId="34F62476" w14:textId="0D104007" w:rsidR="00495708" w:rsidRPr="00186F87" w:rsidRDefault="00495708" w:rsidP="00FA4D82">
      <w:pPr>
        <w:spacing w:after="200" w:line="240" w:lineRule="auto"/>
        <w:rPr>
          <w:rFonts w:ascii="Arial" w:hAnsi="Arial" w:cs="Arial"/>
          <w:shd w:val="clear" w:color="auto" w:fill="FFFFFF"/>
        </w:rPr>
      </w:pPr>
      <w:r w:rsidRPr="00186F87">
        <w:rPr>
          <w:rFonts w:ascii="Arial" w:hAnsi="Arial" w:cs="Arial"/>
        </w:rPr>
        <w:t xml:space="preserve">TARDIF, M. </w:t>
      </w:r>
      <w:r w:rsidRPr="00186F87">
        <w:rPr>
          <w:rFonts w:ascii="Arial" w:hAnsi="Arial" w:cs="Arial"/>
          <w:i/>
        </w:rPr>
        <w:t>Saberes Docentes e Formação Profissional</w:t>
      </w:r>
      <w:r w:rsidRPr="00186F87">
        <w:rPr>
          <w:rFonts w:ascii="Arial" w:hAnsi="Arial" w:cs="Arial"/>
        </w:rPr>
        <w:t xml:space="preserve">. </w:t>
      </w:r>
      <w:r w:rsidRPr="00186F87">
        <w:rPr>
          <w:rFonts w:ascii="Arial" w:hAnsi="Arial" w:cs="Arial"/>
          <w:shd w:val="clear" w:color="auto" w:fill="FFFFFF"/>
        </w:rPr>
        <w:t>17 ed. Petrópolis, RJ: Vozes, 2014.</w:t>
      </w:r>
    </w:p>
    <w:p w14:paraId="233ACBFC" w14:textId="43750E55" w:rsidR="00495708" w:rsidRPr="00186F87" w:rsidRDefault="009F6C42" w:rsidP="00FA4D82">
      <w:pPr>
        <w:spacing w:after="200" w:line="240" w:lineRule="auto"/>
        <w:rPr>
          <w:rFonts w:ascii="Arial" w:hAnsi="Arial" w:cs="Arial"/>
          <w:shd w:val="clear" w:color="auto" w:fill="FFFFFF"/>
        </w:rPr>
      </w:pPr>
      <w:r w:rsidRPr="00186F87">
        <w:rPr>
          <w:rFonts w:ascii="Arial" w:hAnsi="Arial" w:cs="Arial"/>
        </w:rPr>
        <w:t>TARDIF, M.</w:t>
      </w:r>
      <w:r w:rsidR="00495708" w:rsidRPr="00186F87">
        <w:rPr>
          <w:rFonts w:ascii="Arial" w:hAnsi="Arial" w:cs="Arial"/>
        </w:rPr>
        <w:t> </w:t>
      </w:r>
      <w:r w:rsidR="00495708" w:rsidRPr="00186F87">
        <w:rPr>
          <w:rFonts w:ascii="Arial" w:hAnsi="Arial" w:cs="Arial"/>
          <w:bCs/>
          <w:i/>
        </w:rPr>
        <w:t>Saberes profissionais dos professores e conhecimentos universitários</w:t>
      </w:r>
      <w:r w:rsidR="00495708" w:rsidRPr="00186F87">
        <w:rPr>
          <w:rFonts w:ascii="Arial" w:hAnsi="Arial" w:cs="Arial"/>
          <w:i/>
        </w:rPr>
        <w:t>:</w:t>
      </w:r>
      <w:r w:rsidR="00495708" w:rsidRPr="00186F87">
        <w:rPr>
          <w:rFonts w:ascii="Arial" w:hAnsi="Arial" w:cs="Arial"/>
        </w:rPr>
        <w:t xml:space="preserve"> elementos para uma epistemologia da prática profissional dos professores e suas consequências em relação à formação para o magistério. Revista Brasileira de Educação. ANPED, São Paulo, n. 13, p. 5-24, jan./abr. 2000. Disponível em: &lt; </w:t>
      </w:r>
      <w:hyperlink r:id="rId8" w:history="1">
        <w:r w:rsidR="00495708" w:rsidRPr="00186F87">
          <w:rPr>
            <w:rStyle w:val="Hyperlink"/>
            <w:rFonts w:ascii="Arial" w:hAnsi="Arial" w:cs="Arial"/>
            <w:u w:val="none"/>
          </w:rPr>
          <w:t>http://anped.tempsite.ws/novo_portal/rbe/rbedigital/RBDE13/RBDE13_05_MAURICE_TARDIF.pdf</w:t>
        </w:r>
      </w:hyperlink>
      <w:r w:rsidR="00495708" w:rsidRPr="00186F87">
        <w:rPr>
          <w:rFonts w:ascii="Arial" w:hAnsi="Arial" w:cs="Arial"/>
        </w:rPr>
        <w:t>&gt;. Acesso em: 10 dez. 2019.</w:t>
      </w:r>
      <w:r w:rsidR="00495708" w:rsidRPr="00186F87">
        <w:rPr>
          <w:rFonts w:ascii="Arial" w:hAnsi="Arial" w:cs="Arial"/>
          <w:shd w:val="clear" w:color="auto" w:fill="FFFFFF"/>
        </w:rPr>
        <w:t xml:space="preserve"> </w:t>
      </w:r>
    </w:p>
    <w:p w14:paraId="03E0EA25" w14:textId="7CB398C9" w:rsidR="00495708" w:rsidRPr="00186F87" w:rsidRDefault="00495708" w:rsidP="00FA4D82">
      <w:pPr>
        <w:spacing w:after="200" w:line="240" w:lineRule="auto"/>
        <w:rPr>
          <w:rFonts w:ascii="Arial" w:hAnsi="Arial" w:cs="Arial"/>
        </w:rPr>
      </w:pPr>
      <w:r w:rsidRPr="00186F87">
        <w:rPr>
          <w:rFonts w:ascii="Arial" w:hAnsi="Arial" w:cs="Arial"/>
        </w:rPr>
        <w:t xml:space="preserve">SILVA, M.  </w:t>
      </w:r>
      <w:r w:rsidRPr="00186F87">
        <w:rPr>
          <w:rFonts w:ascii="Arial" w:hAnsi="Arial" w:cs="Arial"/>
          <w:bCs/>
          <w:i/>
        </w:rPr>
        <w:t>Complexidade da formação de professores:</w:t>
      </w:r>
      <w:r w:rsidRPr="00186F87">
        <w:rPr>
          <w:rFonts w:ascii="Arial" w:hAnsi="Arial" w:cs="Arial"/>
          <w:bCs/>
        </w:rPr>
        <w:t xml:space="preserve"> saberes teóricos e saberes práticos. </w:t>
      </w:r>
      <w:r w:rsidRPr="00186F87">
        <w:rPr>
          <w:rFonts w:ascii="Arial" w:hAnsi="Arial" w:cs="Arial"/>
        </w:rPr>
        <w:t>São Paulo: Cultura Acadêmica, 2009.</w:t>
      </w:r>
    </w:p>
    <w:p w14:paraId="038A5DE4" w14:textId="454A3624" w:rsidR="001930B9" w:rsidRPr="00186F87" w:rsidRDefault="00495708" w:rsidP="00FA4D82">
      <w:pPr>
        <w:spacing w:after="200" w:line="240" w:lineRule="auto"/>
        <w:rPr>
          <w:rFonts w:ascii="Roboto" w:hAnsi="Roboto"/>
          <w:sz w:val="20"/>
          <w:szCs w:val="20"/>
        </w:rPr>
      </w:pPr>
      <w:r w:rsidRPr="00186F87">
        <w:rPr>
          <w:rFonts w:ascii="Arial" w:hAnsi="Arial" w:cs="Arial"/>
          <w:shd w:val="clear" w:color="auto" w:fill="FFFFFF"/>
        </w:rPr>
        <w:t xml:space="preserve">SOUZA, A. N.  </w:t>
      </w:r>
      <w:r w:rsidRPr="00186F87">
        <w:rPr>
          <w:rFonts w:ascii="Arial" w:hAnsi="Arial" w:cs="Arial"/>
          <w:i/>
          <w:shd w:val="clear" w:color="auto" w:fill="FFFFFF"/>
        </w:rPr>
        <w:t>Sou professor, sim senhor!:</w:t>
      </w:r>
      <w:r w:rsidRPr="00186F87">
        <w:rPr>
          <w:rFonts w:ascii="Arial" w:hAnsi="Arial" w:cs="Arial"/>
          <w:shd w:val="clear" w:color="auto" w:fill="FFFFFF"/>
        </w:rPr>
        <w:t xml:space="preserve"> representações do trabalho docente. Campinas, SP: Papirus, 1996. </w:t>
      </w:r>
    </w:p>
    <w:sectPr w:rsidR="001930B9" w:rsidRPr="00186F87" w:rsidSect="001B0AC7">
      <w:headerReference w:type="even" r:id="rId9"/>
      <w:headerReference w:type="default" r:id="rId10"/>
      <w:footerReference w:type="even" r:id="rId11"/>
      <w:footerReference w:type="default" r:id="rId12"/>
      <w:headerReference w:type="first" r:id="rId13"/>
      <w:footerReference w:type="first" r:id="rId14"/>
      <w:pgSz w:w="11906" w:h="16838"/>
      <w:pgMar w:top="1276" w:right="1134" w:bottom="1134" w:left="1560" w:header="709" w:footer="851" w:gutter="0"/>
      <w:pgNumType w:start="799"/>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53C6F6" w14:textId="77777777" w:rsidR="003154F6" w:rsidRDefault="003154F6" w:rsidP="009C20E9">
      <w:pPr>
        <w:spacing w:after="0" w:line="240" w:lineRule="auto"/>
      </w:pPr>
      <w:r>
        <w:separator/>
      </w:r>
    </w:p>
  </w:endnote>
  <w:endnote w:type="continuationSeparator" w:id="0">
    <w:p w14:paraId="3C708659" w14:textId="77777777" w:rsidR="003154F6" w:rsidRDefault="003154F6" w:rsidP="009C20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2FF" w:usb1="5000205B" w:usb2="00000020" w:usb3="00000000" w:csb0="0000019F" w:csb1="00000000"/>
  </w:font>
  <w:font w:name="Arial Black">
    <w:panose1 w:val="020B0A04020102020204"/>
    <w:charset w:val="00"/>
    <w:family w:val="swiss"/>
    <w:pitch w:val="variable"/>
    <w:sig w:usb0="A00002AF" w:usb1="400078FB"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comgrade"/>
      <w:tblW w:w="90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6271"/>
      <w:gridCol w:w="1529"/>
    </w:tblGrid>
    <w:tr w:rsidR="00526A0E" w:rsidRPr="00CB4D14" w14:paraId="5C2565C2" w14:textId="77777777" w:rsidTr="003F4346">
      <w:trPr>
        <w:jc w:val="center"/>
      </w:trPr>
      <w:tc>
        <w:tcPr>
          <w:tcW w:w="1271" w:type="dxa"/>
          <w:tcBorders>
            <w:top w:val="single" w:sz="4" w:space="0" w:color="auto"/>
            <w:bottom w:val="single" w:sz="4" w:space="0" w:color="auto"/>
            <w:right w:val="single" w:sz="4" w:space="0" w:color="auto"/>
          </w:tcBorders>
        </w:tcPr>
        <w:p w14:paraId="11BEA9FA" w14:textId="77777777" w:rsidR="00526A0E" w:rsidRPr="00760A63" w:rsidRDefault="00526A0E" w:rsidP="00526A0E">
          <w:pPr>
            <w:jc w:val="center"/>
            <w:rPr>
              <w:rFonts w:ascii="Franklin Gothic Book" w:hAnsi="Franklin Gothic Book"/>
              <w:color w:val="000000" w:themeColor="text1"/>
              <w:sz w:val="18"/>
              <w:szCs w:val="18"/>
            </w:rPr>
          </w:pPr>
          <w:r w:rsidRPr="00760A63">
            <w:rPr>
              <w:rFonts w:ascii="Franklin Gothic Book" w:hAnsi="Franklin Gothic Book"/>
              <w:color w:val="000000" w:themeColor="text1"/>
              <w:sz w:val="18"/>
              <w:szCs w:val="18"/>
            </w:rPr>
            <w:object w:dxaOrig="6810" w:dyaOrig="6630" w14:anchorId="2A4AC6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5pt;height:20pt">
                <v:imagedata r:id="rId1" o:title=""/>
              </v:shape>
              <o:OLEObject Type="Embed" ProgID="PBrush" ShapeID="_x0000_i1025" DrawAspect="Content" ObjectID="_1651309932" r:id="rId2"/>
            </w:object>
          </w:r>
        </w:p>
      </w:tc>
      <w:tc>
        <w:tcPr>
          <w:tcW w:w="6271" w:type="dxa"/>
          <w:tcBorders>
            <w:top w:val="single" w:sz="4" w:space="0" w:color="auto"/>
            <w:left w:val="single" w:sz="4" w:space="0" w:color="auto"/>
            <w:bottom w:val="single" w:sz="4" w:space="0" w:color="auto"/>
            <w:right w:val="single" w:sz="4" w:space="0" w:color="auto"/>
          </w:tcBorders>
        </w:tcPr>
        <w:p w14:paraId="5A8B858E" w14:textId="48D1FF04" w:rsidR="00526A0E" w:rsidRPr="00760A63" w:rsidRDefault="00526A0E" w:rsidP="00526A0E">
          <w:pPr>
            <w:spacing w:before="60"/>
            <w:ind w:left="-304" w:firstLine="304"/>
            <w:jc w:val="center"/>
            <w:rPr>
              <w:rFonts w:ascii="Franklin Gothic Book" w:eastAsia="Arial Unicode MS" w:hAnsi="Franklin Gothic Book" w:cs="Arial Unicode MS"/>
              <w:color w:val="000000" w:themeColor="text1"/>
              <w:sz w:val="18"/>
              <w:szCs w:val="18"/>
            </w:rPr>
          </w:pPr>
          <w:r w:rsidRPr="00760A63">
            <w:rPr>
              <w:rFonts w:ascii="Franklin Gothic Book" w:hAnsi="Franklin Gothic Book"/>
              <w:color w:val="000000" w:themeColor="text1"/>
              <w:sz w:val="18"/>
              <w:szCs w:val="18"/>
            </w:rPr>
            <w:t xml:space="preserve">Anais do I Colóquios de Política e Gestão da Educação - </w:t>
          </w:r>
          <w:r w:rsidRPr="00760A63">
            <w:rPr>
              <w:rFonts w:ascii="Franklin Gothic Book" w:eastAsia="Arial Unicode MS" w:hAnsi="Franklin Gothic Book" w:cs="Arial Unicode MS"/>
              <w:color w:val="000000" w:themeColor="text1"/>
              <w:sz w:val="18"/>
              <w:szCs w:val="18"/>
            </w:rPr>
            <w:t>n.1, 20</w:t>
          </w:r>
          <w:r>
            <w:rPr>
              <w:rFonts w:ascii="Franklin Gothic Book" w:eastAsia="Arial Unicode MS" w:hAnsi="Franklin Gothic Book" w:cs="Arial Unicode MS"/>
              <w:color w:val="000000" w:themeColor="text1"/>
              <w:sz w:val="18"/>
              <w:szCs w:val="18"/>
            </w:rPr>
            <w:t>20</w:t>
          </w:r>
          <w:r w:rsidRPr="00760A63">
            <w:rPr>
              <w:rFonts w:ascii="Franklin Gothic Book" w:eastAsia="Arial Unicode MS" w:hAnsi="Franklin Gothic Book" w:cs="Arial Unicode MS"/>
              <w:color w:val="000000" w:themeColor="text1"/>
              <w:sz w:val="18"/>
              <w:szCs w:val="18"/>
            </w:rPr>
            <w:t xml:space="preserve">, </w:t>
          </w:r>
          <w:r w:rsidR="001B0AC7" w:rsidRPr="00760A63">
            <w:rPr>
              <w:rFonts w:ascii="Franklin Gothic Book" w:eastAsia="Arial Unicode MS" w:hAnsi="Franklin Gothic Book" w:cs="Arial Unicode MS"/>
              <w:color w:val="000000" w:themeColor="text1"/>
              <w:sz w:val="18"/>
              <w:szCs w:val="18"/>
            </w:rPr>
            <w:t>p.</w:t>
          </w:r>
          <w:r w:rsidR="001B0AC7">
            <w:rPr>
              <w:rFonts w:ascii="Franklin Gothic Book" w:eastAsia="Arial Unicode MS" w:hAnsi="Franklin Gothic Book" w:cs="Arial Unicode MS"/>
              <w:color w:val="000000" w:themeColor="text1"/>
              <w:sz w:val="18"/>
              <w:szCs w:val="18"/>
            </w:rPr>
            <w:t>799-803</w:t>
          </w:r>
        </w:p>
      </w:tc>
      <w:tc>
        <w:tcPr>
          <w:tcW w:w="1529" w:type="dxa"/>
          <w:tcBorders>
            <w:top w:val="single" w:sz="4" w:space="0" w:color="auto"/>
            <w:left w:val="single" w:sz="4" w:space="0" w:color="auto"/>
            <w:bottom w:val="single" w:sz="4" w:space="0" w:color="auto"/>
          </w:tcBorders>
        </w:tcPr>
        <w:p w14:paraId="358F7918" w14:textId="77777777" w:rsidR="00526A0E" w:rsidRPr="00CB4D14" w:rsidRDefault="00526A0E" w:rsidP="00526A0E">
          <w:pPr>
            <w:pStyle w:val="Rodap"/>
            <w:tabs>
              <w:tab w:val="clear" w:pos="4252"/>
            </w:tabs>
            <w:spacing w:before="60"/>
            <w:ind w:right="-79"/>
            <w:jc w:val="center"/>
            <w:rPr>
              <w:rFonts w:ascii="Franklin Gothic Book" w:eastAsia="Arial Unicode MS" w:hAnsi="Franklin Gothic Book" w:cs="Arial Unicode MS"/>
              <w:color w:val="000000" w:themeColor="text1"/>
              <w:sz w:val="18"/>
              <w:szCs w:val="18"/>
            </w:rPr>
          </w:pPr>
          <w:r w:rsidRPr="00CB4D14">
            <w:rPr>
              <w:rFonts w:ascii="Franklin Gothic Book" w:hAnsi="Franklin Gothic Book"/>
              <w:color w:val="000000" w:themeColor="text1"/>
              <w:sz w:val="18"/>
              <w:szCs w:val="18"/>
            </w:rPr>
            <w:t>ISSN:2674-8630</w:t>
          </w:r>
        </w:p>
      </w:tc>
    </w:tr>
  </w:tbl>
  <w:p w14:paraId="7D8368ED" w14:textId="77777777" w:rsidR="003A2B8E" w:rsidRDefault="003A2B8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comgrade"/>
      <w:tblW w:w="90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6271"/>
      <w:gridCol w:w="1529"/>
    </w:tblGrid>
    <w:tr w:rsidR="00526A0E" w:rsidRPr="00CB4D14" w14:paraId="18FE96FC" w14:textId="77777777" w:rsidTr="003F4346">
      <w:trPr>
        <w:jc w:val="center"/>
      </w:trPr>
      <w:tc>
        <w:tcPr>
          <w:tcW w:w="1271" w:type="dxa"/>
          <w:tcBorders>
            <w:top w:val="single" w:sz="4" w:space="0" w:color="auto"/>
            <w:bottom w:val="single" w:sz="4" w:space="0" w:color="auto"/>
            <w:right w:val="single" w:sz="4" w:space="0" w:color="auto"/>
          </w:tcBorders>
        </w:tcPr>
        <w:p w14:paraId="69D43296" w14:textId="77777777" w:rsidR="00526A0E" w:rsidRPr="00760A63" w:rsidRDefault="00526A0E" w:rsidP="00526A0E">
          <w:pPr>
            <w:jc w:val="center"/>
            <w:rPr>
              <w:rFonts w:ascii="Franklin Gothic Book" w:hAnsi="Franklin Gothic Book"/>
              <w:color w:val="000000" w:themeColor="text1"/>
              <w:sz w:val="18"/>
              <w:szCs w:val="18"/>
            </w:rPr>
          </w:pPr>
          <w:r w:rsidRPr="00760A63">
            <w:rPr>
              <w:rFonts w:ascii="Franklin Gothic Book" w:hAnsi="Franklin Gothic Book"/>
              <w:color w:val="000000" w:themeColor="text1"/>
              <w:sz w:val="18"/>
              <w:szCs w:val="18"/>
            </w:rPr>
            <w:object w:dxaOrig="6810" w:dyaOrig="6630" w14:anchorId="1B8574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5pt;height:20pt">
                <v:imagedata r:id="rId1" o:title=""/>
              </v:shape>
              <o:OLEObject Type="Embed" ProgID="PBrush" ShapeID="_x0000_i1026" DrawAspect="Content" ObjectID="_1651309933" r:id="rId2"/>
            </w:object>
          </w:r>
        </w:p>
      </w:tc>
      <w:tc>
        <w:tcPr>
          <w:tcW w:w="6271" w:type="dxa"/>
          <w:tcBorders>
            <w:top w:val="single" w:sz="4" w:space="0" w:color="auto"/>
            <w:left w:val="single" w:sz="4" w:space="0" w:color="auto"/>
            <w:bottom w:val="single" w:sz="4" w:space="0" w:color="auto"/>
            <w:right w:val="single" w:sz="4" w:space="0" w:color="auto"/>
          </w:tcBorders>
        </w:tcPr>
        <w:p w14:paraId="0CA592A4" w14:textId="5A33B2FD" w:rsidR="00526A0E" w:rsidRPr="00760A63" w:rsidRDefault="00526A0E" w:rsidP="00526A0E">
          <w:pPr>
            <w:spacing w:before="60"/>
            <w:ind w:left="-304" w:firstLine="304"/>
            <w:jc w:val="center"/>
            <w:rPr>
              <w:rFonts w:ascii="Franklin Gothic Book" w:eastAsia="Arial Unicode MS" w:hAnsi="Franklin Gothic Book" w:cs="Arial Unicode MS"/>
              <w:color w:val="000000" w:themeColor="text1"/>
              <w:sz w:val="18"/>
              <w:szCs w:val="18"/>
            </w:rPr>
          </w:pPr>
          <w:r w:rsidRPr="00760A63">
            <w:rPr>
              <w:rFonts w:ascii="Franklin Gothic Book" w:hAnsi="Franklin Gothic Book"/>
              <w:color w:val="000000" w:themeColor="text1"/>
              <w:sz w:val="18"/>
              <w:szCs w:val="18"/>
            </w:rPr>
            <w:t xml:space="preserve">Anais do I Colóquios de Política e Gestão da Educação - </w:t>
          </w:r>
          <w:r w:rsidRPr="00760A63">
            <w:rPr>
              <w:rFonts w:ascii="Franklin Gothic Book" w:eastAsia="Arial Unicode MS" w:hAnsi="Franklin Gothic Book" w:cs="Arial Unicode MS"/>
              <w:color w:val="000000" w:themeColor="text1"/>
              <w:sz w:val="18"/>
              <w:szCs w:val="18"/>
            </w:rPr>
            <w:t>n.1, 20</w:t>
          </w:r>
          <w:r>
            <w:rPr>
              <w:rFonts w:ascii="Franklin Gothic Book" w:eastAsia="Arial Unicode MS" w:hAnsi="Franklin Gothic Book" w:cs="Arial Unicode MS"/>
              <w:color w:val="000000" w:themeColor="text1"/>
              <w:sz w:val="18"/>
              <w:szCs w:val="18"/>
            </w:rPr>
            <w:t>20</w:t>
          </w:r>
          <w:r w:rsidRPr="00760A63">
            <w:rPr>
              <w:rFonts w:ascii="Franklin Gothic Book" w:eastAsia="Arial Unicode MS" w:hAnsi="Franklin Gothic Book" w:cs="Arial Unicode MS"/>
              <w:color w:val="000000" w:themeColor="text1"/>
              <w:sz w:val="18"/>
              <w:szCs w:val="18"/>
            </w:rPr>
            <w:t xml:space="preserve">, </w:t>
          </w:r>
          <w:r w:rsidR="006B12E4" w:rsidRPr="00760A63">
            <w:rPr>
              <w:rFonts w:ascii="Franklin Gothic Book" w:eastAsia="Arial Unicode MS" w:hAnsi="Franklin Gothic Book" w:cs="Arial Unicode MS"/>
              <w:color w:val="000000" w:themeColor="text1"/>
              <w:sz w:val="18"/>
              <w:szCs w:val="18"/>
            </w:rPr>
            <w:t>p.</w:t>
          </w:r>
          <w:r w:rsidR="001B0AC7">
            <w:rPr>
              <w:rFonts w:ascii="Franklin Gothic Book" w:eastAsia="Arial Unicode MS" w:hAnsi="Franklin Gothic Book" w:cs="Arial Unicode MS"/>
              <w:color w:val="000000" w:themeColor="text1"/>
              <w:sz w:val="18"/>
              <w:szCs w:val="18"/>
            </w:rPr>
            <w:t>799-803</w:t>
          </w:r>
        </w:p>
      </w:tc>
      <w:tc>
        <w:tcPr>
          <w:tcW w:w="1529" w:type="dxa"/>
          <w:tcBorders>
            <w:top w:val="single" w:sz="4" w:space="0" w:color="auto"/>
            <w:left w:val="single" w:sz="4" w:space="0" w:color="auto"/>
            <w:bottom w:val="single" w:sz="4" w:space="0" w:color="auto"/>
          </w:tcBorders>
        </w:tcPr>
        <w:p w14:paraId="46F75181" w14:textId="77777777" w:rsidR="00526A0E" w:rsidRPr="00CB4D14" w:rsidRDefault="00526A0E" w:rsidP="00526A0E">
          <w:pPr>
            <w:pStyle w:val="Rodap"/>
            <w:tabs>
              <w:tab w:val="clear" w:pos="4252"/>
            </w:tabs>
            <w:spacing w:before="60"/>
            <w:ind w:right="-79"/>
            <w:jc w:val="center"/>
            <w:rPr>
              <w:rFonts w:ascii="Franklin Gothic Book" w:eastAsia="Arial Unicode MS" w:hAnsi="Franklin Gothic Book" w:cs="Arial Unicode MS"/>
              <w:color w:val="000000" w:themeColor="text1"/>
              <w:sz w:val="18"/>
              <w:szCs w:val="18"/>
            </w:rPr>
          </w:pPr>
          <w:r w:rsidRPr="00CB4D14">
            <w:rPr>
              <w:rFonts w:ascii="Franklin Gothic Book" w:hAnsi="Franklin Gothic Book"/>
              <w:color w:val="000000" w:themeColor="text1"/>
              <w:sz w:val="18"/>
              <w:szCs w:val="18"/>
            </w:rPr>
            <w:t>ISSN:2674-8630</w:t>
          </w:r>
        </w:p>
      </w:tc>
    </w:tr>
  </w:tbl>
  <w:p w14:paraId="2A4E2158" w14:textId="77777777" w:rsidR="00E1355B" w:rsidRDefault="00E1355B">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comgrade"/>
      <w:tblW w:w="90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6271"/>
      <w:gridCol w:w="1529"/>
    </w:tblGrid>
    <w:tr w:rsidR="00526A0E" w:rsidRPr="00CB4D14" w14:paraId="03AA79A0" w14:textId="77777777" w:rsidTr="003F4346">
      <w:trPr>
        <w:jc w:val="center"/>
      </w:trPr>
      <w:tc>
        <w:tcPr>
          <w:tcW w:w="1271" w:type="dxa"/>
          <w:tcBorders>
            <w:top w:val="single" w:sz="4" w:space="0" w:color="auto"/>
            <w:bottom w:val="single" w:sz="4" w:space="0" w:color="auto"/>
            <w:right w:val="single" w:sz="4" w:space="0" w:color="auto"/>
          </w:tcBorders>
        </w:tcPr>
        <w:p w14:paraId="32FA18DC" w14:textId="77777777" w:rsidR="00526A0E" w:rsidRPr="00760A63" w:rsidRDefault="00526A0E" w:rsidP="00526A0E">
          <w:pPr>
            <w:jc w:val="center"/>
            <w:rPr>
              <w:rFonts w:ascii="Franklin Gothic Book" w:hAnsi="Franklin Gothic Book"/>
              <w:color w:val="000000" w:themeColor="text1"/>
              <w:sz w:val="18"/>
              <w:szCs w:val="18"/>
            </w:rPr>
          </w:pPr>
          <w:r w:rsidRPr="00760A63">
            <w:rPr>
              <w:rFonts w:ascii="Franklin Gothic Book" w:hAnsi="Franklin Gothic Book"/>
              <w:color w:val="000000" w:themeColor="text1"/>
              <w:sz w:val="18"/>
              <w:szCs w:val="18"/>
            </w:rPr>
            <w:object w:dxaOrig="6810" w:dyaOrig="6630" w14:anchorId="214018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1.5pt;height:20pt">
                <v:imagedata r:id="rId1" o:title=""/>
              </v:shape>
              <o:OLEObject Type="Embed" ProgID="PBrush" ShapeID="_x0000_i1027" DrawAspect="Content" ObjectID="_1651309934" r:id="rId2"/>
            </w:object>
          </w:r>
        </w:p>
      </w:tc>
      <w:tc>
        <w:tcPr>
          <w:tcW w:w="6271" w:type="dxa"/>
          <w:tcBorders>
            <w:top w:val="single" w:sz="4" w:space="0" w:color="auto"/>
            <w:left w:val="single" w:sz="4" w:space="0" w:color="auto"/>
            <w:bottom w:val="single" w:sz="4" w:space="0" w:color="auto"/>
            <w:right w:val="single" w:sz="4" w:space="0" w:color="auto"/>
          </w:tcBorders>
        </w:tcPr>
        <w:p w14:paraId="3F9888A3" w14:textId="62DE07B0" w:rsidR="00526A0E" w:rsidRPr="00760A63" w:rsidRDefault="00526A0E" w:rsidP="00526A0E">
          <w:pPr>
            <w:spacing w:before="60"/>
            <w:ind w:left="-304" w:firstLine="304"/>
            <w:jc w:val="center"/>
            <w:rPr>
              <w:rFonts w:ascii="Franklin Gothic Book" w:eastAsia="Arial Unicode MS" w:hAnsi="Franklin Gothic Book" w:cs="Arial Unicode MS"/>
              <w:color w:val="000000" w:themeColor="text1"/>
              <w:sz w:val="18"/>
              <w:szCs w:val="18"/>
            </w:rPr>
          </w:pPr>
          <w:r w:rsidRPr="00760A63">
            <w:rPr>
              <w:rFonts w:ascii="Franklin Gothic Book" w:hAnsi="Franklin Gothic Book"/>
              <w:color w:val="000000" w:themeColor="text1"/>
              <w:sz w:val="18"/>
              <w:szCs w:val="18"/>
            </w:rPr>
            <w:t xml:space="preserve">Anais do I Colóquios de Política e Gestão da Educação - </w:t>
          </w:r>
          <w:r w:rsidRPr="00760A63">
            <w:rPr>
              <w:rFonts w:ascii="Franklin Gothic Book" w:eastAsia="Arial Unicode MS" w:hAnsi="Franklin Gothic Book" w:cs="Arial Unicode MS"/>
              <w:color w:val="000000" w:themeColor="text1"/>
              <w:sz w:val="18"/>
              <w:szCs w:val="18"/>
            </w:rPr>
            <w:t>n.1, 20</w:t>
          </w:r>
          <w:r>
            <w:rPr>
              <w:rFonts w:ascii="Franklin Gothic Book" w:eastAsia="Arial Unicode MS" w:hAnsi="Franklin Gothic Book" w:cs="Arial Unicode MS"/>
              <w:color w:val="000000" w:themeColor="text1"/>
              <w:sz w:val="18"/>
              <w:szCs w:val="18"/>
            </w:rPr>
            <w:t>20</w:t>
          </w:r>
          <w:r w:rsidRPr="00760A63">
            <w:rPr>
              <w:rFonts w:ascii="Franklin Gothic Book" w:eastAsia="Arial Unicode MS" w:hAnsi="Franklin Gothic Book" w:cs="Arial Unicode MS"/>
              <w:color w:val="000000" w:themeColor="text1"/>
              <w:sz w:val="18"/>
              <w:szCs w:val="18"/>
            </w:rPr>
            <w:t xml:space="preserve">, </w:t>
          </w:r>
          <w:r w:rsidR="001B0AC7" w:rsidRPr="00760A63">
            <w:rPr>
              <w:rFonts w:ascii="Franklin Gothic Book" w:eastAsia="Arial Unicode MS" w:hAnsi="Franklin Gothic Book" w:cs="Arial Unicode MS"/>
              <w:color w:val="000000" w:themeColor="text1"/>
              <w:sz w:val="18"/>
              <w:szCs w:val="18"/>
            </w:rPr>
            <w:t>p.</w:t>
          </w:r>
          <w:r w:rsidR="001B0AC7">
            <w:rPr>
              <w:rFonts w:ascii="Franklin Gothic Book" w:eastAsia="Arial Unicode MS" w:hAnsi="Franklin Gothic Book" w:cs="Arial Unicode MS"/>
              <w:color w:val="000000" w:themeColor="text1"/>
              <w:sz w:val="18"/>
              <w:szCs w:val="18"/>
            </w:rPr>
            <w:t>799-803</w:t>
          </w:r>
        </w:p>
      </w:tc>
      <w:tc>
        <w:tcPr>
          <w:tcW w:w="1529" w:type="dxa"/>
          <w:tcBorders>
            <w:top w:val="single" w:sz="4" w:space="0" w:color="auto"/>
            <w:left w:val="single" w:sz="4" w:space="0" w:color="auto"/>
            <w:bottom w:val="single" w:sz="4" w:space="0" w:color="auto"/>
          </w:tcBorders>
        </w:tcPr>
        <w:p w14:paraId="59BEB173" w14:textId="77777777" w:rsidR="00526A0E" w:rsidRPr="00CB4D14" w:rsidRDefault="00526A0E" w:rsidP="00526A0E">
          <w:pPr>
            <w:pStyle w:val="Rodap"/>
            <w:tabs>
              <w:tab w:val="clear" w:pos="4252"/>
            </w:tabs>
            <w:spacing w:before="60"/>
            <w:ind w:right="-79"/>
            <w:jc w:val="center"/>
            <w:rPr>
              <w:rFonts w:ascii="Franklin Gothic Book" w:eastAsia="Arial Unicode MS" w:hAnsi="Franklin Gothic Book" w:cs="Arial Unicode MS"/>
              <w:color w:val="000000" w:themeColor="text1"/>
              <w:sz w:val="18"/>
              <w:szCs w:val="18"/>
            </w:rPr>
          </w:pPr>
          <w:r w:rsidRPr="00CB4D14">
            <w:rPr>
              <w:rFonts w:ascii="Franklin Gothic Book" w:hAnsi="Franklin Gothic Book"/>
              <w:color w:val="000000" w:themeColor="text1"/>
              <w:sz w:val="18"/>
              <w:szCs w:val="18"/>
            </w:rPr>
            <w:t>ISSN:2674-8630</w:t>
          </w:r>
        </w:p>
      </w:tc>
    </w:tr>
  </w:tbl>
  <w:p w14:paraId="76AE5831" w14:textId="77777777" w:rsidR="00462BFB" w:rsidRDefault="00462BF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4F18D0" w14:textId="77777777" w:rsidR="003154F6" w:rsidRDefault="003154F6" w:rsidP="009C20E9">
      <w:pPr>
        <w:spacing w:after="0" w:line="240" w:lineRule="auto"/>
      </w:pPr>
      <w:r>
        <w:separator/>
      </w:r>
    </w:p>
  </w:footnote>
  <w:footnote w:type="continuationSeparator" w:id="0">
    <w:p w14:paraId="5E06687B" w14:textId="77777777" w:rsidR="003154F6" w:rsidRDefault="003154F6" w:rsidP="009C20E9">
      <w:pPr>
        <w:spacing w:after="0" w:line="240" w:lineRule="auto"/>
      </w:pPr>
      <w:r>
        <w:continuationSeparator/>
      </w:r>
    </w:p>
  </w:footnote>
  <w:footnote w:id="1">
    <w:p w14:paraId="7C77C2B6" w14:textId="4FD2688F" w:rsidR="00764869" w:rsidRPr="00A95B7F" w:rsidRDefault="00764869" w:rsidP="00907343">
      <w:pPr>
        <w:pStyle w:val="Textodenotaderodap"/>
        <w:spacing w:after="120"/>
        <w:jc w:val="both"/>
        <w:rPr>
          <w:rFonts w:ascii="Arial" w:hAnsi="Arial" w:cs="Arial"/>
          <w:sz w:val="18"/>
          <w:szCs w:val="18"/>
        </w:rPr>
      </w:pPr>
      <w:r w:rsidRPr="00A95B7F">
        <w:rPr>
          <w:rStyle w:val="Refdenotaderodap"/>
          <w:rFonts w:ascii="Arial" w:hAnsi="Arial" w:cs="Arial"/>
          <w:sz w:val="18"/>
          <w:szCs w:val="18"/>
          <w:vertAlign w:val="baseline"/>
        </w:rPr>
        <w:sym w:font="Symbol" w:char="F02A"/>
      </w:r>
      <w:r w:rsidRPr="00A95B7F">
        <w:rPr>
          <w:rFonts w:ascii="Arial" w:hAnsi="Arial" w:cs="Arial"/>
          <w:sz w:val="18"/>
          <w:szCs w:val="18"/>
        </w:rPr>
        <w:t xml:space="preserve">Docente do Programa de Pós-Graduação em </w:t>
      </w:r>
      <w:r w:rsidR="00495708" w:rsidRPr="00A95B7F">
        <w:rPr>
          <w:rFonts w:ascii="Arial" w:hAnsi="Arial" w:cs="Arial"/>
          <w:sz w:val="18"/>
          <w:szCs w:val="18"/>
        </w:rPr>
        <w:t xml:space="preserve">Políticas Públicas </w:t>
      </w:r>
      <w:r w:rsidRPr="00A95B7F">
        <w:rPr>
          <w:rFonts w:ascii="Arial" w:hAnsi="Arial" w:cs="Arial"/>
          <w:sz w:val="18"/>
          <w:szCs w:val="18"/>
        </w:rPr>
        <w:t>da Universidade Federal d</w:t>
      </w:r>
      <w:r w:rsidR="00495708" w:rsidRPr="00A95B7F">
        <w:rPr>
          <w:rFonts w:ascii="Arial" w:hAnsi="Arial" w:cs="Arial"/>
          <w:sz w:val="18"/>
          <w:szCs w:val="18"/>
        </w:rPr>
        <w:t>o Paraná</w:t>
      </w:r>
      <w:r w:rsidRPr="00A95B7F">
        <w:rPr>
          <w:rFonts w:ascii="Arial" w:hAnsi="Arial" w:cs="Arial"/>
          <w:sz w:val="18"/>
          <w:szCs w:val="18"/>
        </w:rPr>
        <w:t xml:space="preserve"> – (UF</w:t>
      </w:r>
      <w:r w:rsidR="00495708" w:rsidRPr="00A95B7F">
        <w:rPr>
          <w:rFonts w:ascii="Arial" w:hAnsi="Arial" w:cs="Arial"/>
          <w:sz w:val="18"/>
          <w:szCs w:val="18"/>
        </w:rPr>
        <w:t>PR</w:t>
      </w:r>
      <w:r w:rsidRPr="00A95B7F">
        <w:rPr>
          <w:rFonts w:ascii="Arial" w:hAnsi="Arial" w:cs="Arial"/>
          <w:sz w:val="18"/>
          <w:szCs w:val="18"/>
        </w:rPr>
        <w:t>-</w:t>
      </w:r>
      <w:r w:rsidR="00495708" w:rsidRPr="00A95B7F">
        <w:rPr>
          <w:rFonts w:ascii="Arial" w:hAnsi="Arial" w:cs="Arial"/>
          <w:sz w:val="18"/>
          <w:szCs w:val="18"/>
        </w:rPr>
        <w:t xml:space="preserve"> Curitiba</w:t>
      </w:r>
      <w:r w:rsidRPr="00A95B7F">
        <w:rPr>
          <w:rFonts w:ascii="Arial" w:hAnsi="Arial" w:cs="Arial"/>
          <w:sz w:val="18"/>
          <w:szCs w:val="18"/>
        </w:rPr>
        <w:t xml:space="preserve">). E-mail: </w:t>
      </w:r>
      <w:hyperlink r:id="rId1" w:history="1">
        <w:r w:rsidR="00495708" w:rsidRPr="00A95B7F">
          <w:rPr>
            <w:rStyle w:val="Hyperlink"/>
            <w:rFonts w:ascii="Arial" w:hAnsi="Arial" w:cs="Arial"/>
            <w:sz w:val="18"/>
            <w:szCs w:val="18"/>
            <w:u w:val="none"/>
          </w:rPr>
          <w:t>alan_es@ihotmail.com</w:t>
        </w:r>
      </w:hyperlink>
      <w:r w:rsidR="00A95B7F" w:rsidRPr="00A95B7F">
        <w:rPr>
          <w:rStyle w:val="Hyperlink"/>
          <w:rFonts w:ascii="Arial" w:hAnsi="Arial" w:cs="Arial"/>
          <w:sz w:val="18"/>
          <w:szCs w:val="18"/>
          <w:u w:val="none"/>
        </w:rPr>
        <w:t>.</w:t>
      </w:r>
      <w:r w:rsidRPr="00A95B7F">
        <w:rPr>
          <w:rFonts w:ascii="Arial" w:hAnsi="Arial"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comgrade"/>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4"/>
      <w:gridCol w:w="608"/>
    </w:tblGrid>
    <w:tr w:rsidR="00372F41" w:rsidRPr="00CD0CA1" w14:paraId="39293D57" w14:textId="77777777" w:rsidTr="00760A63">
      <w:tc>
        <w:tcPr>
          <w:tcW w:w="8464" w:type="dxa"/>
          <w:tcBorders>
            <w:bottom w:val="single" w:sz="4" w:space="0" w:color="auto"/>
          </w:tcBorders>
          <w:shd w:val="clear" w:color="auto" w:fill="FFFFFF" w:themeFill="background1"/>
        </w:tcPr>
        <w:p w14:paraId="379192EF" w14:textId="2DE8CA46" w:rsidR="00372F41" w:rsidRPr="00CD0CA1" w:rsidRDefault="00BC26F8" w:rsidP="00BC26F8">
          <w:pPr>
            <w:tabs>
              <w:tab w:val="left" w:pos="0"/>
            </w:tabs>
            <w:ind w:left="-110" w:hanging="11"/>
            <w:rPr>
              <w:rFonts w:ascii="Franklin Gothic Book" w:hAnsi="Franklin Gothic Book"/>
              <w:sz w:val="14"/>
              <w:szCs w:val="16"/>
            </w:rPr>
          </w:pPr>
          <w:r w:rsidRPr="00CD0CA1">
            <w:rPr>
              <w:rFonts w:ascii="Franklin Gothic Book" w:eastAsia="Arial Unicode MS" w:hAnsi="Franklin Gothic Book" w:cs="Arial Unicode MS"/>
              <w:bCs/>
              <w:color w:val="000000" w:themeColor="text1"/>
              <w:sz w:val="18"/>
              <w:szCs w:val="18"/>
            </w:rPr>
            <w:t>Temática: O</w:t>
          </w:r>
          <w:r w:rsidRPr="00CD0CA1">
            <w:rPr>
              <w:rFonts w:ascii="Franklin Gothic Book" w:hAnsi="Franklin Gothic Book"/>
              <w:sz w:val="18"/>
              <w:szCs w:val="16"/>
            </w:rPr>
            <w:t>s conselhos municipais de educação e o exercício da gestão</w:t>
          </w:r>
          <w:r w:rsidRPr="00CD0CA1">
            <w:rPr>
              <w:rFonts w:ascii="Franklin Gothic Book" w:hAnsi="Franklin Gothic Book"/>
              <w:sz w:val="14"/>
              <w:szCs w:val="16"/>
            </w:rPr>
            <w:t xml:space="preserve"> </w:t>
          </w:r>
          <w:r w:rsidRPr="00CD0CA1">
            <w:rPr>
              <w:rFonts w:ascii="Franklin Gothic Book" w:hAnsi="Franklin Gothic Book"/>
              <w:sz w:val="18"/>
              <w:szCs w:val="16"/>
            </w:rPr>
            <w:t>democrática</w:t>
          </w:r>
        </w:p>
      </w:tc>
      <w:tc>
        <w:tcPr>
          <w:tcW w:w="608" w:type="dxa"/>
          <w:tcBorders>
            <w:bottom w:val="single" w:sz="4" w:space="0" w:color="auto"/>
          </w:tcBorders>
          <w:shd w:val="clear" w:color="auto" w:fill="000000" w:themeFill="text1"/>
        </w:tcPr>
        <w:p w14:paraId="66BE9A10" w14:textId="063667D1" w:rsidR="00372F41" w:rsidRPr="00CD0CA1" w:rsidRDefault="003154F6" w:rsidP="00372F41">
          <w:pPr>
            <w:ind w:right="-114"/>
            <w:jc w:val="center"/>
            <w:rPr>
              <w:rFonts w:ascii="Franklin Gothic Book" w:eastAsia="Arial Unicode MS" w:hAnsi="Franklin Gothic Book" w:cs="Arial Unicode MS"/>
              <w:bCs/>
              <w:color w:val="000000" w:themeColor="text1"/>
              <w:sz w:val="18"/>
              <w:szCs w:val="18"/>
            </w:rPr>
          </w:pPr>
          <w:sdt>
            <w:sdtPr>
              <w:rPr>
                <w:rFonts w:ascii="Franklin Gothic Book" w:eastAsia="Arial Unicode MS" w:hAnsi="Franklin Gothic Book" w:cs="Arial Unicode MS"/>
                <w:sz w:val="18"/>
                <w:szCs w:val="18"/>
              </w:rPr>
              <w:id w:val="-693389719"/>
              <w:docPartObj>
                <w:docPartGallery w:val="Page Numbers (Top of Page)"/>
                <w:docPartUnique/>
              </w:docPartObj>
            </w:sdtPr>
            <w:sdtEndPr/>
            <w:sdtContent>
              <w:r w:rsidR="00372F41" w:rsidRPr="00CD0CA1">
                <w:rPr>
                  <w:rFonts w:ascii="Franklin Gothic Book" w:eastAsia="Arial Unicode MS" w:hAnsi="Franklin Gothic Book" w:cs="Arial Unicode MS"/>
                  <w:sz w:val="18"/>
                  <w:szCs w:val="18"/>
                </w:rPr>
                <w:fldChar w:fldCharType="begin"/>
              </w:r>
              <w:r w:rsidR="00372F41" w:rsidRPr="00CD0CA1">
                <w:rPr>
                  <w:rFonts w:ascii="Franklin Gothic Book" w:eastAsia="Arial Unicode MS" w:hAnsi="Franklin Gothic Book" w:cs="Arial Unicode MS"/>
                  <w:sz w:val="18"/>
                  <w:szCs w:val="18"/>
                </w:rPr>
                <w:instrText>PAGE   \* MERGEFORMAT</w:instrText>
              </w:r>
              <w:r w:rsidR="00372F41" w:rsidRPr="00CD0CA1">
                <w:rPr>
                  <w:rFonts w:ascii="Franklin Gothic Book" w:eastAsia="Arial Unicode MS" w:hAnsi="Franklin Gothic Book" w:cs="Arial Unicode MS"/>
                  <w:sz w:val="18"/>
                  <w:szCs w:val="18"/>
                </w:rPr>
                <w:fldChar w:fldCharType="separate"/>
              </w:r>
              <w:r w:rsidR="00A54C70">
                <w:rPr>
                  <w:rFonts w:ascii="Franklin Gothic Book" w:eastAsia="Arial Unicode MS" w:hAnsi="Franklin Gothic Book" w:cs="Arial Unicode MS"/>
                  <w:noProof/>
                  <w:sz w:val="18"/>
                  <w:szCs w:val="18"/>
                </w:rPr>
                <w:t>4</w:t>
              </w:r>
              <w:r w:rsidR="00372F41" w:rsidRPr="00CD0CA1">
                <w:rPr>
                  <w:rFonts w:ascii="Franklin Gothic Book" w:eastAsia="Arial Unicode MS" w:hAnsi="Franklin Gothic Book" w:cs="Arial Unicode MS"/>
                  <w:sz w:val="18"/>
                  <w:szCs w:val="18"/>
                </w:rPr>
                <w:fldChar w:fldCharType="end"/>
              </w:r>
            </w:sdtContent>
          </w:sdt>
        </w:p>
      </w:tc>
    </w:tr>
  </w:tbl>
  <w:p w14:paraId="7E231129" w14:textId="7237AE8A" w:rsidR="00305C1A" w:rsidRDefault="00305C1A" w:rsidP="003C024C">
    <w:pPr>
      <w:pStyle w:val="Cabealho"/>
      <w:tabs>
        <w:tab w:val="clear" w:pos="4252"/>
      </w:tabs>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comgrade"/>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1355B" w:rsidRPr="00585E30" w14:paraId="3C0EBFE8" w14:textId="77777777" w:rsidTr="00760A63">
      <w:tc>
        <w:tcPr>
          <w:tcW w:w="567" w:type="dxa"/>
          <w:tcBorders>
            <w:bottom w:val="single" w:sz="4" w:space="0" w:color="auto"/>
          </w:tcBorders>
          <w:shd w:val="clear" w:color="auto" w:fill="000000" w:themeFill="text1"/>
        </w:tcPr>
        <w:p w14:paraId="65EB8B91" w14:textId="675A886C" w:rsidR="00E1355B" w:rsidRPr="00585E30" w:rsidRDefault="003154F6" w:rsidP="00E1355B">
          <w:pPr>
            <w:pStyle w:val="Rodap"/>
            <w:ind w:left="-108"/>
            <w:jc w:val="center"/>
            <w:rPr>
              <w:rFonts w:ascii="Franklin Gothic Book" w:eastAsia="Arial Unicode MS" w:hAnsi="Franklin Gothic Book" w:cs="Arial Unicode MS"/>
              <w:sz w:val="18"/>
              <w:szCs w:val="18"/>
            </w:rPr>
          </w:pPr>
          <w:sdt>
            <w:sdtPr>
              <w:rPr>
                <w:rFonts w:ascii="Franklin Gothic Book" w:eastAsia="Arial Unicode MS" w:hAnsi="Franklin Gothic Book" w:cs="Arial Unicode MS"/>
                <w:sz w:val="18"/>
                <w:szCs w:val="18"/>
              </w:rPr>
              <w:id w:val="1149096993"/>
              <w:docPartObj>
                <w:docPartGallery w:val="Page Numbers (Top of Page)"/>
                <w:docPartUnique/>
              </w:docPartObj>
            </w:sdtPr>
            <w:sdtEndPr/>
            <w:sdtContent>
              <w:r w:rsidR="00E1355B" w:rsidRPr="00585E30">
                <w:rPr>
                  <w:rFonts w:ascii="Franklin Gothic Book" w:eastAsia="Arial Unicode MS" w:hAnsi="Franklin Gothic Book" w:cs="Arial Unicode MS"/>
                  <w:sz w:val="18"/>
                  <w:szCs w:val="18"/>
                </w:rPr>
                <w:fldChar w:fldCharType="begin"/>
              </w:r>
              <w:r w:rsidR="00E1355B" w:rsidRPr="00585E30">
                <w:rPr>
                  <w:rFonts w:ascii="Franklin Gothic Book" w:eastAsia="Arial Unicode MS" w:hAnsi="Franklin Gothic Book" w:cs="Arial Unicode MS"/>
                  <w:sz w:val="18"/>
                  <w:szCs w:val="18"/>
                </w:rPr>
                <w:instrText>PAGE   \* MERGEFORMAT</w:instrText>
              </w:r>
              <w:r w:rsidR="00E1355B" w:rsidRPr="00585E30">
                <w:rPr>
                  <w:rFonts w:ascii="Franklin Gothic Book" w:eastAsia="Arial Unicode MS" w:hAnsi="Franklin Gothic Book" w:cs="Arial Unicode MS"/>
                  <w:sz w:val="18"/>
                  <w:szCs w:val="18"/>
                </w:rPr>
                <w:fldChar w:fldCharType="separate"/>
              </w:r>
              <w:r w:rsidR="00A54C70">
                <w:rPr>
                  <w:rFonts w:ascii="Franklin Gothic Book" w:eastAsia="Arial Unicode MS" w:hAnsi="Franklin Gothic Book" w:cs="Arial Unicode MS"/>
                  <w:noProof/>
                  <w:sz w:val="18"/>
                  <w:szCs w:val="18"/>
                </w:rPr>
                <w:t>5</w:t>
              </w:r>
              <w:r w:rsidR="00E1355B" w:rsidRPr="00585E30">
                <w:rPr>
                  <w:rFonts w:ascii="Franklin Gothic Book" w:eastAsia="Arial Unicode MS" w:hAnsi="Franklin Gothic Book" w:cs="Arial Unicode MS"/>
                  <w:sz w:val="18"/>
                  <w:szCs w:val="18"/>
                </w:rPr>
                <w:fldChar w:fldCharType="end"/>
              </w:r>
            </w:sdtContent>
          </w:sdt>
        </w:p>
      </w:tc>
      <w:tc>
        <w:tcPr>
          <w:tcW w:w="8505" w:type="dxa"/>
          <w:tcBorders>
            <w:bottom w:val="single" w:sz="4" w:space="0" w:color="auto"/>
          </w:tcBorders>
        </w:tcPr>
        <w:p w14:paraId="18562679" w14:textId="594CB9A9" w:rsidR="00E1355B" w:rsidRPr="00585E30" w:rsidRDefault="00450DA3" w:rsidP="00450DA3">
          <w:pPr>
            <w:ind w:right="-114"/>
            <w:jc w:val="right"/>
            <w:rPr>
              <w:rFonts w:ascii="Franklin Gothic Book" w:eastAsia="Arial Unicode MS" w:hAnsi="Franklin Gothic Book" w:cs="Arial Unicode MS"/>
              <w:bCs/>
              <w:color w:val="000000" w:themeColor="text1"/>
              <w:sz w:val="18"/>
              <w:szCs w:val="18"/>
            </w:rPr>
          </w:pPr>
          <w:r w:rsidRPr="00585E30">
            <w:rPr>
              <w:rFonts w:ascii="Franklin Gothic Book" w:eastAsia="Arial Unicode MS" w:hAnsi="Franklin Gothic Book" w:cs="Arial Unicode MS"/>
              <w:bCs/>
              <w:color w:val="000000" w:themeColor="text1"/>
              <w:sz w:val="18"/>
              <w:szCs w:val="18"/>
            </w:rPr>
            <w:t>Local:  Núcleo de Educação, Tec. e Cultura (NETEC) da UFSCar-Sorocaba – 27 a 29 de maio de 2020</w:t>
          </w:r>
        </w:p>
      </w:tc>
    </w:tr>
  </w:tbl>
  <w:p w14:paraId="1CE4F9DB" w14:textId="7A03C317" w:rsidR="00E32AA6" w:rsidRDefault="00E32AA6">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E2055" w14:textId="674F8976" w:rsidR="00114086" w:rsidRDefault="00114086" w:rsidP="00114086">
    <w:pPr>
      <w:pStyle w:val="Cabealho"/>
      <w:tabs>
        <w:tab w:val="clear" w:pos="8504"/>
        <w:tab w:val="right" w:pos="9071"/>
      </w:tabs>
      <w:jc w:val="center"/>
      <w:rPr>
        <w:noProof/>
      </w:rPr>
    </w:pPr>
    <w:r>
      <w:rPr>
        <w:noProof/>
        <w:lang w:eastAsia="pt-BR"/>
      </w:rPr>
      <w:drawing>
        <wp:inline distT="0" distB="0" distL="0" distR="0" wp14:anchorId="71596D8C" wp14:editId="0381505F">
          <wp:extent cx="5147310" cy="1038225"/>
          <wp:effectExtent l="0" t="0" r="0" b="9525"/>
          <wp:docPr id="42" name="Imagem 42" descr="CabeÃ§alho da pÃ¡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abeÃ§alho da pÃ¡gina"/>
                  <pic:cNvPicPr>
                    <a:picLocks noChangeAspect="1" noChangeArrowheads="1"/>
                  </pic:cNvPicPr>
                </pic:nvPicPr>
                <pic:blipFill rotWithShape="1">
                  <a:blip r:embed="rId1">
                    <a:extLst>
                      <a:ext uri="{28A0092B-C50C-407E-A947-70E740481C1C}">
                        <a14:useLocalDpi xmlns:a14="http://schemas.microsoft.com/office/drawing/2010/main" val="0"/>
                      </a:ext>
                    </a:extLst>
                  </a:blip>
                  <a:srcRect l="9481"/>
                  <a:stretch/>
                </pic:blipFill>
                <pic:spPr bwMode="auto">
                  <a:xfrm>
                    <a:off x="0" y="0"/>
                    <a:ext cx="5147310" cy="1038225"/>
                  </a:xfrm>
                  <a:prstGeom prst="rect">
                    <a:avLst/>
                  </a:prstGeom>
                  <a:noFill/>
                  <a:ln>
                    <a:noFill/>
                  </a:ln>
                  <a:extLst>
                    <a:ext uri="{53640926-AAD7-44D8-BBD7-CCE9431645EC}">
                      <a14:shadowObscured xmlns:a14="http://schemas.microsoft.com/office/drawing/2010/main"/>
                    </a:ext>
                  </a:extLst>
                </pic:spPr>
              </pic:pic>
            </a:graphicData>
          </a:graphic>
        </wp:inline>
      </w:drawing>
    </w:r>
  </w:p>
  <w:p w14:paraId="508D3FD8" w14:textId="6780E8E3" w:rsidR="00570953" w:rsidRDefault="00526A0E" w:rsidP="003C024C">
    <w:pPr>
      <w:pStyle w:val="Cabealho"/>
      <w:jc w:val="center"/>
    </w:pPr>
    <w:r>
      <w:rPr>
        <w:noProof/>
      </w:rPr>
      <mc:AlternateContent>
        <mc:Choice Requires="wps">
          <w:drawing>
            <wp:anchor distT="0" distB="0" distL="114300" distR="114300" simplePos="0" relativeHeight="251659264" behindDoc="0" locked="0" layoutInCell="1" allowOverlap="1" wp14:anchorId="577345B3" wp14:editId="4426DCF1">
              <wp:simplePos x="0" y="0"/>
              <wp:positionH relativeFrom="column">
                <wp:posOffset>0</wp:posOffset>
              </wp:positionH>
              <wp:positionV relativeFrom="paragraph">
                <wp:posOffset>150717</wp:posOffset>
              </wp:positionV>
              <wp:extent cx="5759450" cy="0"/>
              <wp:effectExtent l="0" t="0" r="0" b="0"/>
              <wp:wrapNone/>
              <wp:docPr id="1" name="Conector reto 1"/>
              <wp:cNvGraphicFramePr/>
              <a:graphic xmlns:a="http://schemas.openxmlformats.org/drawingml/2006/main">
                <a:graphicData uri="http://schemas.microsoft.com/office/word/2010/wordprocessingShape">
                  <wps:wsp>
                    <wps:cNvCnPr/>
                    <wps:spPr>
                      <a:xfrm>
                        <a:off x="0" y="0"/>
                        <a:ext cx="5759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6AC002" id="Conector reto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11.85pt" to="453.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587859"/>
    <w:multiLevelType w:val="multilevel"/>
    <w:tmpl w:val="8F62240A"/>
    <w:lvl w:ilvl="0">
      <w:start w:val="1"/>
      <w:numFmt w:val="decimal"/>
      <w:lvlText w:val="%1."/>
      <w:lvlJc w:val="left"/>
      <w:pPr>
        <w:tabs>
          <w:tab w:val="num" w:pos="720"/>
        </w:tabs>
        <w:ind w:left="720" w:hanging="360"/>
      </w:pPr>
    </w:lvl>
    <w:lvl w:ilvl="1">
      <w:start w:val="4"/>
      <w:numFmt w:val="decimal"/>
      <w:isLgl/>
      <w:lvlText w:val="%1.%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800"/>
        </w:tabs>
        <w:ind w:left="1800" w:hanging="144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2160"/>
        </w:tabs>
        <w:ind w:left="2160" w:hanging="1800"/>
      </w:pPr>
    </w:lvl>
    <w:lvl w:ilvl="7">
      <w:start w:val="1"/>
      <w:numFmt w:val="decimal"/>
      <w:isLgl/>
      <w:lvlText w:val="%1.%2.%3.%4.%5.%6.%7.%8."/>
      <w:lvlJc w:val="left"/>
      <w:pPr>
        <w:tabs>
          <w:tab w:val="num" w:pos="2520"/>
        </w:tabs>
        <w:ind w:left="2520" w:hanging="2160"/>
      </w:pPr>
    </w:lvl>
    <w:lvl w:ilvl="8">
      <w:start w:val="1"/>
      <w:numFmt w:val="decimal"/>
      <w:isLgl/>
      <w:lvlText w:val="%1.%2.%3.%4.%5.%6.%7.%8.%9."/>
      <w:lvlJc w:val="left"/>
      <w:pPr>
        <w:tabs>
          <w:tab w:val="num" w:pos="2520"/>
        </w:tabs>
        <w:ind w:left="2520" w:hanging="2160"/>
      </w:pPr>
    </w:lvl>
  </w:abstractNum>
  <w:abstractNum w:abstractNumId="1" w15:restartNumberingAfterBreak="0">
    <w:nsid w:val="2A4130BA"/>
    <w:multiLevelType w:val="hybridMultilevel"/>
    <w:tmpl w:val="5566C39E"/>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15:restartNumberingAfterBreak="0">
    <w:nsid w:val="403C77DA"/>
    <w:multiLevelType w:val="hybridMultilevel"/>
    <w:tmpl w:val="6938087C"/>
    <w:lvl w:ilvl="0" w:tplc="04160005">
      <w:start w:val="1"/>
      <w:numFmt w:val="bullet"/>
      <w:lvlText w:val=""/>
      <w:lvlJc w:val="left"/>
      <w:pPr>
        <w:tabs>
          <w:tab w:val="num" w:pos="720"/>
        </w:tabs>
        <w:ind w:left="720" w:hanging="360"/>
      </w:pPr>
      <w:rPr>
        <w:rFonts w:ascii="Wingdings" w:hAnsi="Wingdings" w:hint="default"/>
        <w:color w:val="auto"/>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2080E0F"/>
    <w:multiLevelType w:val="multilevel"/>
    <w:tmpl w:val="EC2CE0A0"/>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6CD32B18"/>
    <w:multiLevelType w:val="multilevel"/>
    <w:tmpl w:val="F4B6AA84"/>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1D1"/>
    <w:rsid w:val="000070B0"/>
    <w:rsid w:val="000107E0"/>
    <w:rsid w:val="000108D0"/>
    <w:rsid w:val="00025190"/>
    <w:rsid w:val="00035849"/>
    <w:rsid w:val="00036217"/>
    <w:rsid w:val="0004061A"/>
    <w:rsid w:val="0004257A"/>
    <w:rsid w:val="00045A91"/>
    <w:rsid w:val="00047548"/>
    <w:rsid w:val="00054E56"/>
    <w:rsid w:val="000564A5"/>
    <w:rsid w:val="00062B88"/>
    <w:rsid w:val="000631EB"/>
    <w:rsid w:val="000636B9"/>
    <w:rsid w:val="00065A98"/>
    <w:rsid w:val="00082892"/>
    <w:rsid w:val="00083E74"/>
    <w:rsid w:val="00097EB4"/>
    <w:rsid w:val="000A07EE"/>
    <w:rsid w:val="000A3799"/>
    <w:rsid w:val="000A59C6"/>
    <w:rsid w:val="000B2101"/>
    <w:rsid w:val="000B5CE9"/>
    <w:rsid w:val="000B653E"/>
    <w:rsid w:val="000D1878"/>
    <w:rsid w:val="000D25FC"/>
    <w:rsid w:val="000E0389"/>
    <w:rsid w:val="000E1EF2"/>
    <w:rsid w:val="000E40F8"/>
    <w:rsid w:val="000E7264"/>
    <w:rsid w:val="000F3E0A"/>
    <w:rsid w:val="000F5548"/>
    <w:rsid w:val="000F7B45"/>
    <w:rsid w:val="0010516C"/>
    <w:rsid w:val="00105A11"/>
    <w:rsid w:val="001061E1"/>
    <w:rsid w:val="00106FEE"/>
    <w:rsid w:val="00114086"/>
    <w:rsid w:val="0012122F"/>
    <w:rsid w:val="00127499"/>
    <w:rsid w:val="00145BA5"/>
    <w:rsid w:val="0015233B"/>
    <w:rsid w:val="00154AEA"/>
    <w:rsid w:val="001635CA"/>
    <w:rsid w:val="0016374F"/>
    <w:rsid w:val="00167C1A"/>
    <w:rsid w:val="001712DC"/>
    <w:rsid w:val="001747C3"/>
    <w:rsid w:val="00184304"/>
    <w:rsid w:val="00186772"/>
    <w:rsid w:val="00186F87"/>
    <w:rsid w:val="001923F6"/>
    <w:rsid w:val="001923FF"/>
    <w:rsid w:val="001930B9"/>
    <w:rsid w:val="001952B8"/>
    <w:rsid w:val="001A1B58"/>
    <w:rsid w:val="001A6714"/>
    <w:rsid w:val="001B0AC7"/>
    <w:rsid w:val="001B4145"/>
    <w:rsid w:val="001B7E66"/>
    <w:rsid w:val="001C3D44"/>
    <w:rsid w:val="001C504F"/>
    <w:rsid w:val="001D591A"/>
    <w:rsid w:val="001D696C"/>
    <w:rsid w:val="001E4E94"/>
    <w:rsid w:val="001F2F2D"/>
    <w:rsid w:val="001F66C9"/>
    <w:rsid w:val="00202623"/>
    <w:rsid w:val="00204978"/>
    <w:rsid w:val="002136B9"/>
    <w:rsid w:val="002169D2"/>
    <w:rsid w:val="00222D27"/>
    <w:rsid w:val="00226A09"/>
    <w:rsid w:val="00230C98"/>
    <w:rsid w:val="00231DF1"/>
    <w:rsid w:val="0023340B"/>
    <w:rsid w:val="0023767B"/>
    <w:rsid w:val="00242A3D"/>
    <w:rsid w:val="00242CA7"/>
    <w:rsid w:val="00253752"/>
    <w:rsid w:val="00254741"/>
    <w:rsid w:val="00264771"/>
    <w:rsid w:val="0026507B"/>
    <w:rsid w:val="00270CB6"/>
    <w:rsid w:val="00277FC6"/>
    <w:rsid w:val="0028064B"/>
    <w:rsid w:val="002846BA"/>
    <w:rsid w:val="0028563C"/>
    <w:rsid w:val="002877A9"/>
    <w:rsid w:val="00295941"/>
    <w:rsid w:val="002A1AC4"/>
    <w:rsid w:val="002A1AF4"/>
    <w:rsid w:val="002B1245"/>
    <w:rsid w:val="002C1FDD"/>
    <w:rsid w:val="002C3423"/>
    <w:rsid w:val="002C5C05"/>
    <w:rsid w:val="002D16C5"/>
    <w:rsid w:val="002D6E91"/>
    <w:rsid w:val="002E1379"/>
    <w:rsid w:val="002E1868"/>
    <w:rsid w:val="002E2B09"/>
    <w:rsid w:val="002E59BD"/>
    <w:rsid w:val="002F282F"/>
    <w:rsid w:val="002F4F70"/>
    <w:rsid w:val="00301C2E"/>
    <w:rsid w:val="00305C1A"/>
    <w:rsid w:val="003062A6"/>
    <w:rsid w:val="003154F6"/>
    <w:rsid w:val="00320159"/>
    <w:rsid w:val="0032267F"/>
    <w:rsid w:val="00327FED"/>
    <w:rsid w:val="00340FAC"/>
    <w:rsid w:val="003414AF"/>
    <w:rsid w:val="00341C28"/>
    <w:rsid w:val="00343D52"/>
    <w:rsid w:val="00345176"/>
    <w:rsid w:val="003454E4"/>
    <w:rsid w:val="003504BB"/>
    <w:rsid w:val="00351BFC"/>
    <w:rsid w:val="0036126A"/>
    <w:rsid w:val="0037236D"/>
    <w:rsid w:val="00372611"/>
    <w:rsid w:val="00372F41"/>
    <w:rsid w:val="00373415"/>
    <w:rsid w:val="00392F38"/>
    <w:rsid w:val="00393562"/>
    <w:rsid w:val="00393735"/>
    <w:rsid w:val="003A196F"/>
    <w:rsid w:val="003A2B8E"/>
    <w:rsid w:val="003B050C"/>
    <w:rsid w:val="003B0ED6"/>
    <w:rsid w:val="003C024C"/>
    <w:rsid w:val="003C13C1"/>
    <w:rsid w:val="003C5D08"/>
    <w:rsid w:val="003C5EE6"/>
    <w:rsid w:val="003D393F"/>
    <w:rsid w:val="003D5AE7"/>
    <w:rsid w:val="003E087B"/>
    <w:rsid w:val="003E5239"/>
    <w:rsid w:val="003E5E6F"/>
    <w:rsid w:val="003E6613"/>
    <w:rsid w:val="003F1AAC"/>
    <w:rsid w:val="004075B0"/>
    <w:rsid w:val="0042649D"/>
    <w:rsid w:val="00430F67"/>
    <w:rsid w:val="004345CA"/>
    <w:rsid w:val="00437C64"/>
    <w:rsid w:val="00447B96"/>
    <w:rsid w:val="00450DA3"/>
    <w:rsid w:val="004527AC"/>
    <w:rsid w:val="00462BFB"/>
    <w:rsid w:val="00466F8F"/>
    <w:rsid w:val="00471C17"/>
    <w:rsid w:val="00477418"/>
    <w:rsid w:val="00480077"/>
    <w:rsid w:val="0048384E"/>
    <w:rsid w:val="0049139B"/>
    <w:rsid w:val="00494182"/>
    <w:rsid w:val="00495708"/>
    <w:rsid w:val="00495A9C"/>
    <w:rsid w:val="00495D63"/>
    <w:rsid w:val="004A1BDD"/>
    <w:rsid w:val="004B16DB"/>
    <w:rsid w:val="004B2CFA"/>
    <w:rsid w:val="004B4EFF"/>
    <w:rsid w:val="004D7D93"/>
    <w:rsid w:val="004E0786"/>
    <w:rsid w:val="004F1C34"/>
    <w:rsid w:val="004F5991"/>
    <w:rsid w:val="00507F71"/>
    <w:rsid w:val="005169A9"/>
    <w:rsid w:val="00526A0E"/>
    <w:rsid w:val="005341C3"/>
    <w:rsid w:val="00535826"/>
    <w:rsid w:val="00540E39"/>
    <w:rsid w:val="0054685B"/>
    <w:rsid w:val="0054710A"/>
    <w:rsid w:val="00550246"/>
    <w:rsid w:val="00553714"/>
    <w:rsid w:val="00566A42"/>
    <w:rsid w:val="0056732F"/>
    <w:rsid w:val="005675D6"/>
    <w:rsid w:val="00570953"/>
    <w:rsid w:val="00576236"/>
    <w:rsid w:val="00585E30"/>
    <w:rsid w:val="00592BB3"/>
    <w:rsid w:val="005C2B3F"/>
    <w:rsid w:val="005C3AF6"/>
    <w:rsid w:val="005C49EA"/>
    <w:rsid w:val="005D011D"/>
    <w:rsid w:val="005D0E71"/>
    <w:rsid w:val="005E216F"/>
    <w:rsid w:val="005E5D14"/>
    <w:rsid w:val="00605D13"/>
    <w:rsid w:val="0060743C"/>
    <w:rsid w:val="006075E8"/>
    <w:rsid w:val="00612FF7"/>
    <w:rsid w:val="0062006B"/>
    <w:rsid w:val="00621828"/>
    <w:rsid w:val="00624C20"/>
    <w:rsid w:val="00624E2E"/>
    <w:rsid w:val="00626102"/>
    <w:rsid w:val="006400D2"/>
    <w:rsid w:val="00643EE5"/>
    <w:rsid w:val="00646B6F"/>
    <w:rsid w:val="00665096"/>
    <w:rsid w:val="006737BB"/>
    <w:rsid w:val="00675F68"/>
    <w:rsid w:val="00684A47"/>
    <w:rsid w:val="00685F26"/>
    <w:rsid w:val="00691543"/>
    <w:rsid w:val="006A26C0"/>
    <w:rsid w:val="006A35FE"/>
    <w:rsid w:val="006A5173"/>
    <w:rsid w:val="006A6171"/>
    <w:rsid w:val="006A6C5E"/>
    <w:rsid w:val="006B12E4"/>
    <w:rsid w:val="006B40EF"/>
    <w:rsid w:val="006B4914"/>
    <w:rsid w:val="006C532B"/>
    <w:rsid w:val="006D218E"/>
    <w:rsid w:val="006F631C"/>
    <w:rsid w:val="00702185"/>
    <w:rsid w:val="007030A7"/>
    <w:rsid w:val="00703516"/>
    <w:rsid w:val="00710A67"/>
    <w:rsid w:val="007204F7"/>
    <w:rsid w:val="00733DE2"/>
    <w:rsid w:val="00741E76"/>
    <w:rsid w:val="007475D7"/>
    <w:rsid w:val="007525F2"/>
    <w:rsid w:val="007545EF"/>
    <w:rsid w:val="00754E57"/>
    <w:rsid w:val="00754F9A"/>
    <w:rsid w:val="00760A63"/>
    <w:rsid w:val="00764869"/>
    <w:rsid w:val="0077480D"/>
    <w:rsid w:val="00783FF6"/>
    <w:rsid w:val="007878E1"/>
    <w:rsid w:val="00792F52"/>
    <w:rsid w:val="00793BDC"/>
    <w:rsid w:val="00797B80"/>
    <w:rsid w:val="007A385B"/>
    <w:rsid w:val="007A4292"/>
    <w:rsid w:val="007A78AA"/>
    <w:rsid w:val="007B2D16"/>
    <w:rsid w:val="007B5BE5"/>
    <w:rsid w:val="007B765F"/>
    <w:rsid w:val="007C45B9"/>
    <w:rsid w:val="007C486E"/>
    <w:rsid w:val="007D02BE"/>
    <w:rsid w:val="007D1914"/>
    <w:rsid w:val="007D22BE"/>
    <w:rsid w:val="007D30E8"/>
    <w:rsid w:val="007D5D62"/>
    <w:rsid w:val="007D6AF8"/>
    <w:rsid w:val="007D6F2C"/>
    <w:rsid w:val="007E4601"/>
    <w:rsid w:val="007F5189"/>
    <w:rsid w:val="00804C52"/>
    <w:rsid w:val="0080602A"/>
    <w:rsid w:val="00812D39"/>
    <w:rsid w:val="0081430A"/>
    <w:rsid w:val="008154D7"/>
    <w:rsid w:val="008328A6"/>
    <w:rsid w:val="00832C77"/>
    <w:rsid w:val="00836EE1"/>
    <w:rsid w:val="00843EE5"/>
    <w:rsid w:val="0085663E"/>
    <w:rsid w:val="008578BF"/>
    <w:rsid w:val="00863CB4"/>
    <w:rsid w:val="00872BFF"/>
    <w:rsid w:val="00886BAD"/>
    <w:rsid w:val="008909A3"/>
    <w:rsid w:val="00896834"/>
    <w:rsid w:val="008A021C"/>
    <w:rsid w:val="008A6D04"/>
    <w:rsid w:val="008B04FF"/>
    <w:rsid w:val="008B4DC6"/>
    <w:rsid w:val="008C11E2"/>
    <w:rsid w:val="008C6C18"/>
    <w:rsid w:val="008E5E84"/>
    <w:rsid w:val="008F632B"/>
    <w:rsid w:val="008F7669"/>
    <w:rsid w:val="00901487"/>
    <w:rsid w:val="00902C11"/>
    <w:rsid w:val="00907343"/>
    <w:rsid w:val="00915DD9"/>
    <w:rsid w:val="0091770C"/>
    <w:rsid w:val="00923576"/>
    <w:rsid w:val="00924082"/>
    <w:rsid w:val="00933DA6"/>
    <w:rsid w:val="00934452"/>
    <w:rsid w:val="00934FDB"/>
    <w:rsid w:val="00944AF1"/>
    <w:rsid w:val="00946756"/>
    <w:rsid w:val="00957B1B"/>
    <w:rsid w:val="009657F9"/>
    <w:rsid w:val="00967FEA"/>
    <w:rsid w:val="0097114C"/>
    <w:rsid w:val="00973E01"/>
    <w:rsid w:val="009754F2"/>
    <w:rsid w:val="009903C8"/>
    <w:rsid w:val="009A4B63"/>
    <w:rsid w:val="009B4DE4"/>
    <w:rsid w:val="009C20E9"/>
    <w:rsid w:val="009C24D7"/>
    <w:rsid w:val="009D22C1"/>
    <w:rsid w:val="009D4800"/>
    <w:rsid w:val="009E0E0C"/>
    <w:rsid w:val="009F25CA"/>
    <w:rsid w:val="009F6C42"/>
    <w:rsid w:val="009F7BC8"/>
    <w:rsid w:val="00A06DC0"/>
    <w:rsid w:val="00A13D41"/>
    <w:rsid w:val="00A144B9"/>
    <w:rsid w:val="00A14C92"/>
    <w:rsid w:val="00A2499B"/>
    <w:rsid w:val="00A3257A"/>
    <w:rsid w:val="00A33E25"/>
    <w:rsid w:val="00A5296F"/>
    <w:rsid w:val="00A5316C"/>
    <w:rsid w:val="00A54598"/>
    <w:rsid w:val="00A54C70"/>
    <w:rsid w:val="00A5642E"/>
    <w:rsid w:val="00A61689"/>
    <w:rsid w:val="00A72FB5"/>
    <w:rsid w:val="00A81A14"/>
    <w:rsid w:val="00A834C5"/>
    <w:rsid w:val="00A87CDC"/>
    <w:rsid w:val="00A923F4"/>
    <w:rsid w:val="00A95B7F"/>
    <w:rsid w:val="00AA2C55"/>
    <w:rsid w:val="00AA37CA"/>
    <w:rsid w:val="00AA62CF"/>
    <w:rsid w:val="00AE2776"/>
    <w:rsid w:val="00AF2241"/>
    <w:rsid w:val="00AF31B3"/>
    <w:rsid w:val="00B0604F"/>
    <w:rsid w:val="00B2271B"/>
    <w:rsid w:val="00B23CE3"/>
    <w:rsid w:val="00B2484D"/>
    <w:rsid w:val="00B24A6E"/>
    <w:rsid w:val="00B35E97"/>
    <w:rsid w:val="00B41DF0"/>
    <w:rsid w:val="00B474D5"/>
    <w:rsid w:val="00B6235E"/>
    <w:rsid w:val="00B6613F"/>
    <w:rsid w:val="00B71DA3"/>
    <w:rsid w:val="00B74847"/>
    <w:rsid w:val="00B97125"/>
    <w:rsid w:val="00BA7A0C"/>
    <w:rsid w:val="00BB62B9"/>
    <w:rsid w:val="00BC26F8"/>
    <w:rsid w:val="00BC5BCA"/>
    <w:rsid w:val="00BC5C3B"/>
    <w:rsid w:val="00BC7BD0"/>
    <w:rsid w:val="00BD0D75"/>
    <w:rsid w:val="00BD3DDC"/>
    <w:rsid w:val="00BE04D8"/>
    <w:rsid w:val="00BF1B6D"/>
    <w:rsid w:val="00C15B8B"/>
    <w:rsid w:val="00C23144"/>
    <w:rsid w:val="00C24394"/>
    <w:rsid w:val="00C31EA2"/>
    <w:rsid w:val="00C333FC"/>
    <w:rsid w:val="00C40FE5"/>
    <w:rsid w:val="00C52382"/>
    <w:rsid w:val="00C523CC"/>
    <w:rsid w:val="00C538DD"/>
    <w:rsid w:val="00C56B00"/>
    <w:rsid w:val="00C57E63"/>
    <w:rsid w:val="00C601BE"/>
    <w:rsid w:val="00C65803"/>
    <w:rsid w:val="00C83712"/>
    <w:rsid w:val="00CA201B"/>
    <w:rsid w:val="00CA661E"/>
    <w:rsid w:val="00CD0CA1"/>
    <w:rsid w:val="00CD2A52"/>
    <w:rsid w:val="00CD51EB"/>
    <w:rsid w:val="00CE11D1"/>
    <w:rsid w:val="00CF2617"/>
    <w:rsid w:val="00CF4C4B"/>
    <w:rsid w:val="00CF6451"/>
    <w:rsid w:val="00CF6AE6"/>
    <w:rsid w:val="00D0302C"/>
    <w:rsid w:val="00D050E1"/>
    <w:rsid w:val="00D1439E"/>
    <w:rsid w:val="00D21F35"/>
    <w:rsid w:val="00D46C12"/>
    <w:rsid w:val="00D46CB5"/>
    <w:rsid w:val="00D555CD"/>
    <w:rsid w:val="00D57B28"/>
    <w:rsid w:val="00D57D5B"/>
    <w:rsid w:val="00D63BC3"/>
    <w:rsid w:val="00D73076"/>
    <w:rsid w:val="00D82222"/>
    <w:rsid w:val="00D82C9F"/>
    <w:rsid w:val="00D90A91"/>
    <w:rsid w:val="00D91B86"/>
    <w:rsid w:val="00D94381"/>
    <w:rsid w:val="00D94B87"/>
    <w:rsid w:val="00DA3EF8"/>
    <w:rsid w:val="00DB104B"/>
    <w:rsid w:val="00DC43F6"/>
    <w:rsid w:val="00DD0490"/>
    <w:rsid w:val="00DD5D9A"/>
    <w:rsid w:val="00DE06B4"/>
    <w:rsid w:val="00DE2F8D"/>
    <w:rsid w:val="00DE5589"/>
    <w:rsid w:val="00DE7270"/>
    <w:rsid w:val="00DE75FE"/>
    <w:rsid w:val="00E00356"/>
    <w:rsid w:val="00E10D9D"/>
    <w:rsid w:val="00E1355B"/>
    <w:rsid w:val="00E13CA6"/>
    <w:rsid w:val="00E14E46"/>
    <w:rsid w:val="00E15091"/>
    <w:rsid w:val="00E15BAB"/>
    <w:rsid w:val="00E222D7"/>
    <w:rsid w:val="00E32AA6"/>
    <w:rsid w:val="00E40C52"/>
    <w:rsid w:val="00E42B50"/>
    <w:rsid w:val="00E53FB5"/>
    <w:rsid w:val="00E66AD7"/>
    <w:rsid w:val="00E67923"/>
    <w:rsid w:val="00E70573"/>
    <w:rsid w:val="00E725D2"/>
    <w:rsid w:val="00E80F87"/>
    <w:rsid w:val="00E93A31"/>
    <w:rsid w:val="00E96E54"/>
    <w:rsid w:val="00EA754D"/>
    <w:rsid w:val="00EB58E1"/>
    <w:rsid w:val="00ED4FD9"/>
    <w:rsid w:val="00ED73E1"/>
    <w:rsid w:val="00EE38CE"/>
    <w:rsid w:val="00F02621"/>
    <w:rsid w:val="00F1214F"/>
    <w:rsid w:val="00F12389"/>
    <w:rsid w:val="00F1372C"/>
    <w:rsid w:val="00F169F4"/>
    <w:rsid w:val="00F36ACD"/>
    <w:rsid w:val="00F4124B"/>
    <w:rsid w:val="00F41E9D"/>
    <w:rsid w:val="00F43011"/>
    <w:rsid w:val="00F43FC9"/>
    <w:rsid w:val="00F61257"/>
    <w:rsid w:val="00F62118"/>
    <w:rsid w:val="00F70BD7"/>
    <w:rsid w:val="00F71CC4"/>
    <w:rsid w:val="00F758C7"/>
    <w:rsid w:val="00F8070B"/>
    <w:rsid w:val="00F9085E"/>
    <w:rsid w:val="00F97092"/>
    <w:rsid w:val="00FA3FBC"/>
    <w:rsid w:val="00FA4D82"/>
    <w:rsid w:val="00FB6E94"/>
    <w:rsid w:val="00FC08EC"/>
    <w:rsid w:val="00FC11A4"/>
    <w:rsid w:val="00FC2359"/>
    <w:rsid w:val="00FC544F"/>
    <w:rsid w:val="00FD4073"/>
    <w:rsid w:val="00FE1179"/>
    <w:rsid w:val="00FE3A0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7B0824"/>
  <w15:chartTrackingRefBased/>
  <w15:docId w15:val="{06A9554E-EE41-4270-8BE0-083211FBE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1D1"/>
  </w:style>
  <w:style w:type="paragraph" w:styleId="Ttulo3">
    <w:name w:val="heading 3"/>
    <w:basedOn w:val="Normal"/>
    <w:next w:val="Normal"/>
    <w:link w:val="Ttulo3Char"/>
    <w:uiPriority w:val="9"/>
    <w:semiHidden/>
    <w:unhideWhenUsed/>
    <w:qFormat/>
    <w:rsid w:val="00A5316C"/>
    <w:pPr>
      <w:keepNext/>
      <w:spacing w:before="240" w:after="60" w:line="256" w:lineRule="auto"/>
      <w:outlineLvl w:val="2"/>
    </w:pPr>
    <w:rPr>
      <w:rFonts w:ascii="Calibri Light" w:eastAsia="Times New Roman" w:hAnsi="Calibri Light" w:cs="Times New Roman"/>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bttulo">
    <w:name w:val="Subtitle"/>
    <w:basedOn w:val="Normal"/>
    <w:link w:val="SubttuloChar"/>
    <w:uiPriority w:val="99"/>
    <w:qFormat/>
    <w:rsid w:val="00CE11D1"/>
    <w:pPr>
      <w:autoSpaceDE w:val="0"/>
      <w:autoSpaceDN w:val="0"/>
      <w:spacing w:after="0" w:line="360" w:lineRule="auto"/>
      <w:ind w:firstLine="567"/>
      <w:jc w:val="both"/>
    </w:pPr>
    <w:rPr>
      <w:rFonts w:ascii="Times New Roman" w:eastAsia="Times New Roman" w:hAnsi="Times New Roman" w:cs="Times New Roman"/>
      <w:sz w:val="24"/>
      <w:szCs w:val="24"/>
      <w:lang w:eastAsia="pt-BR"/>
    </w:rPr>
  </w:style>
  <w:style w:type="character" w:customStyle="1" w:styleId="SubttuloChar">
    <w:name w:val="Subtítulo Char"/>
    <w:basedOn w:val="Fontepargpadro"/>
    <w:link w:val="Subttulo"/>
    <w:uiPriority w:val="99"/>
    <w:rsid w:val="00CE11D1"/>
    <w:rPr>
      <w:rFonts w:ascii="Times New Roman" w:eastAsia="Times New Roman" w:hAnsi="Times New Roman" w:cs="Times New Roman"/>
      <w:sz w:val="24"/>
      <w:szCs w:val="24"/>
      <w:lang w:eastAsia="pt-BR"/>
    </w:rPr>
  </w:style>
  <w:style w:type="character" w:customStyle="1" w:styleId="RecuodecorpodetextoChar">
    <w:name w:val="Recuo de corpo de texto Char"/>
    <w:aliases w:val="Char Char"/>
    <w:basedOn w:val="Fontepargpadro"/>
    <w:link w:val="Recuodecorpodetexto"/>
    <w:locked/>
    <w:rsid w:val="00CE11D1"/>
    <w:rPr>
      <w:sz w:val="24"/>
    </w:rPr>
  </w:style>
  <w:style w:type="paragraph" w:styleId="Recuodecorpodetexto">
    <w:name w:val="Body Text Indent"/>
    <w:aliases w:val="Char"/>
    <w:basedOn w:val="Normal"/>
    <w:link w:val="RecuodecorpodetextoChar"/>
    <w:unhideWhenUsed/>
    <w:rsid w:val="00CE11D1"/>
    <w:pPr>
      <w:spacing w:after="0" w:line="240" w:lineRule="auto"/>
      <w:ind w:left="360"/>
      <w:jc w:val="both"/>
    </w:pPr>
    <w:rPr>
      <w:sz w:val="24"/>
    </w:rPr>
  </w:style>
  <w:style w:type="character" w:customStyle="1" w:styleId="RecuodecorpodetextoChar1">
    <w:name w:val="Recuo de corpo de texto Char1"/>
    <w:basedOn w:val="Fontepargpadro"/>
    <w:uiPriority w:val="99"/>
    <w:semiHidden/>
    <w:rsid w:val="00CE11D1"/>
  </w:style>
  <w:style w:type="character" w:customStyle="1" w:styleId="apple-converted-space">
    <w:name w:val="apple-converted-space"/>
    <w:basedOn w:val="Fontepargpadro"/>
    <w:rsid w:val="007C486E"/>
  </w:style>
  <w:style w:type="paragraph" w:styleId="Recuodecorpodetexto2">
    <w:name w:val="Body Text Indent 2"/>
    <w:basedOn w:val="Normal"/>
    <w:link w:val="Recuodecorpodetexto2Char"/>
    <w:uiPriority w:val="99"/>
    <w:semiHidden/>
    <w:unhideWhenUsed/>
    <w:rsid w:val="00FE1179"/>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FE1179"/>
  </w:style>
  <w:style w:type="paragraph" w:styleId="Ttulo">
    <w:name w:val="Title"/>
    <w:basedOn w:val="Normal"/>
    <w:link w:val="TtuloChar"/>
    <w:qFormat/>
    <w:rsid w:val="005341C3"/>
    <w:pPr>
      <w:autoSpaceDE w:val="0"/>
      <w:autoSpaceDN w:val="0"/>
      <w:spacing w:after="0" w:line="240" w:lineRule="auto"/>
      <w:jc w:val="center"/>
    </w:pPr>
    <w:rPr>
      <w:rFonts w:ascii="Times New Roman" w:eastAsia="Times New Roman" w:hAnsi="Times New Roman" w:cs="Times New Roman"/>
      <w:b/>
      <w:bCs/>
      <w:sz w:val="28"/>
      <w:szCs w:val="28"/>
      <w:lang w:eastAsia="pt-BR"/>
    </w:rPr>
  </w:style>
  <w:style w:type="character" w:customStyle="1" w:styleId="TtuloChar">
    <w:name w:val="Título Char"/>
    <w:basedOn w:val="Fontepargpadro"/>
    <w:link w:val="Ttulo"/>
    <w:rsid w:val="005341C3"/>
    <w:rPr>
      <w:rFonts w:ascii="Times New Roman" w:eastAsia="Times New Roman" w:hAnsi="Times New Roman" w:cs="Times New Roman"/>
      <w:b/>
      <w:bCs/>
      <w:sz w:val="28"/>
      <w:szCs w:val="28"/>
      <w:lang w:eastAsia="pt-BR"/>
    </w:rPr>
  </w:style>
  <w:style w:type="paragraph" w:styleId="Textodenotaderodap">
    <w:name w:val="footnote text"/>
    <w:aliases w:val=" Carácter,Carácter"/>
    <w:basedOn w:val="Normal"/>
    <w:link w:val="TextodenotaderodapChar"/>
    <w:uiPriority w:val="99"/>
    <w:unhideWhenUsed/>
    <w:rsid w:val="009C20E9"/>
    <w:pPr>
      <w:spacing w:after="0" w:line="240" w:lineRule="auto"/>
    </w:pPr>
    <w:rPr>
      <w:sz w:val="20"/>
      <w:szCs w:val="20"/>
    </w:rPr>
  </w:style>
  <w:style w:type="character" w:customStyle="1" w:styleId="TextodenotaderodapChar">
    <w:name w:val="Texto de nota de rodapé Char"/>
    <w:aliases w:val=" Carácter Char,Carácter Char"/>
    <w:basedOn w:val="Fontepargpadro"/>
    <w:link w:val="Textodenotaderodap"/>
    <w:uiPriority w:val="99"/>
    <w:rsid w:val="009C20E9"/>
    <w:rPr>
      <w:sz w:val="20"/>
      <w:szCs w:val="20"/>
    </w:rPr>
  </w:style>
  <w:style w:type="character" w:styleId="Refdenotaderodap">
    <w:name w:val="footnote reference"/>
    <w:basedOn w:val="Fontepargpadro"/>
    <w:uiPriority w:val="99"/>
    <w:semiHidden/>
    <w:unhideWhenUsed/>
    <w:rsid w:val="009C20E9"/>
    <w:rPr>
      <w:vertAlign w:val="superscript"/>
    </w:rPr>
  </w:style>
  <w:style w:type="paragraph" w:styleId="Cabealho">
    <w:name w:val="header"/>
    <w:basedOn w:val="Normal"/>
    <w:link w:val="CabealhoChar"/>
    <w:uiPriority w:val="99"/>
    <w:unhideWhenUsed/>
    <w:rsid w:val="00612FF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12FF7"/>
  </w:style>
  <w:style w:type="paragraph" w:styleId="Rodap">
    <w:name w:val="footer"/>
    <w:basedOn w:val="Normal"/>
    <w:link w:val="RodapChar"/>
    <w:uiPriority w:val="99"/>
    <w:unhideWhenUsed/>
    <w:rsid w:val="00612FF7"/>
    <w:pPr>
      <w:tabs>
        <w:tab w:val="center" w:pos="4252"/>
        <w:tab w:val="right" w:pos="8504"/>
      </w:tabs>
      <w:spacing w:after="0" w:line="240" w:lineRule="auto"/>
    </w:pPr>
  </w:style>
  <w:style w:type="character" w:customStyle="1" w:styleId="RodapChar">
    <w:name w:val="Rodapé Char"/>
    <w:basedOn w:val="Fontepargpadro"/>
    <w:link w:val="Rodap"/>
    <w:uiPriority w:val="99"/>
    <w:rsid w:val="00612FF7"/>
  </w:style>
  <w:style w:type="table" w:styleId="Tabelacomgrade">
    <w:name w:val="Table Grid"/>
    <w:basedOn w:val="Tabelanormal"/>
    <w:uiPriority w:val="39"/>
    <w:rsid w:val="00E13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FC11A4"/>
    <w:rPr>
      <w:color w:val="0563C1" w:themeColor="hyperlink"/>
      <w:u w:val="single"/>
    </w:rPr>
  </w:style>
  <w:style w:type="character" w:customStyle="1" w:styleId="MenoPendente1">
    <w:name w:val="Menção Pendente1"/>
    <w:basedOn w:val="Fontepargpadro"/>
    <w:uiPriority w:val="99"/>
    <w:semiHidden/>
    <w:unhideWhenUsed/>
    <w:rsid w:val="00FC11A4"/>
    <w:rPr>
      <w:color w:val="808080"/>
      <w:shd w:val="clear" w:color="auto" w:fill="E6E6E6"/>
    </w:rPr>
  </w:style>
  <w:style w:type="paragraph" w:styleId="NormalWeb">
    <w:name w:val="Normal (Web)"/>
    <w:basedOn w:val="Normal"/>
    <w:uiPriority w:val="99"/>
    <w:unhideWhenUsed/>
    <w:rsid w:val="00C31EA2"/>
    <w:pPr>
      <w:spacing w:line="256" w:lineRule="auto"/>
    </w:pPr>
    <w:rPr>
      <w:rFonts w:ascii="Times New Roman" w:hAnsi="Times New Roman" w:cs="Times New Roman"/>
      <w:sz w:val="24"/>
      <w:szCs w:val="24"/>
    </w:rPr>
  </w:style>
  <w:style w:type="character" w:customStyle="1" w:styleId="Ttulo3Char">
    <w:name w:val="Título 3 Char"/>
    <w:basedOn w:val="Fontepargpadro"/>
    <w:link w:val="Ttulo3"/>
    <w:uiPriority w:val="9"/>
    <w:semiHidden/>
    <w:rsid w:val="00A5316C"/>
    <w:rPr>
      <w:rFonts w:ascii="Calibri Light" w:eastAsia="Times New Roman" w:hAnsi="Calibri Light" w:cs="Times New Roman"/>
      <w:b/>
      <w:bCs/>
      <w:sz w:val="26"/>
      <w:szCs w:val="26"/>
    </w:rPr>
  </w:style>
  <w:style w:type="paragraph" w:styleId="SemEspaamento">
    <w:name w:val="No Spacing"/>
    <w:uiPriority w:val="1"/>
    <w:qFormat/>
    <w:rsid w:val="00A5316C"/>
    <w:pPr>
      <w:spacing w:after="0" w:line="240" w:lineRule="auto"/>
    </w:pPr>
    <w:rPr>
      <w:rFonts w:ascii="Calibri" w:eastAsia="Calibri" w:hAnsi="Calibri" w:cs="Times New Roman"/>
    </w:rPr>
  </w:style>
  <w:style w:type="paragraph" w:styleId="PargrafodaLista">
    <w:name w:val="List Paragraph"/>
    <w:basedOn w:val="Normal"/>
    <w:uiPriority w:val="34"/>
    <w:qFormat/>
    <w:rsid w:val="00A5316C"/>
    <w:pPr>
      <w:spacing w:line="256" w:lineRule="auto"/>
      <w:ind w:left="720"/>
      <w:contextualSpacing/>
    </w:pPr>
  </w:style>
  <w:style w:type="paragraph" w:customStyle="1" w:styleId="Normal1">
    <w:name w:val="Normal1"/>
    <w:rsid w:val="00A5316C"/>
    <w:pPr>
      <w:spacing w:after="0" w:line="276" w:lineRule="auto"/>
    </w:pPr>
    <w:rPr>
      <w:rFonts w:ascii="Arial" w:eastAsia="Arial" w:hAnsi="Arial" w:cs="Arial"/>
      <w:color w:val="000000"/>
      <w:lang w:eastAsia="pt-BR"/>
    </w:rPr>
  </w:style>
  <w:style w:type="paragraph" w:customStyle="1" w:styleId="citese">
    <w:name w:val="citese"/>
    <w:basedOn w:val="Normal"/>
    <w:autoRedefine/>
    <w:uiPriority w:val="99"/>
    <w:qFormat/>
    <w:rsid w:val="00A5316C"/>
    <w:pPr>
      <w:shd w:val="clear" w:color="auto" w:fill="FFFFFF"/>
      <w:spacing w:before="240" w:after="240" w:line="240" w:lineRule="auto"/>
      <w:ind w:left="2268"/>
      <w:jc w:val="both"/>
    </w:pPr>
    <w:rPr>
      <w:rFonts w:ascii="Roboto" w:hAnsi="Roboto" w:cs="Times New Roman"/>
      <w:bCs/>
      <w:sz w:val="18"/>
      <w:szCs w:val="20"/>
      <w:lang w:eastAsia="pt-BR"/>
    </w:rPr>
  </w:style>
  <w:style w:type="table" w:customStyle="1" w:styleId="TabeladeLista6Colorida-nfase21">
    <w:name w:val="Tabela de Lista 6 Colorida - Ênfase 21"/>
    <w:basedOn w:val="Tabelanormal"/>
    <w:uiPriority w:val="51"/>
    <w:rsid w:val="00A5316C"/>
    <w:pPr>
      <w:spacing w:after="0" w:line="240" w:lineRule="auto"/>
    </w:pPr>
    <w:rPr>
      <w:color w:val="C45911" w:themeColor="accent2" w:themeShade="BF"/>
    </w:rPr>
    <w:tblPr>
      <w:tblStyleRowBandSize w:val="1"/>
      <w:tblStyleColBandSize w:val="1"/>
      <w:tblInd w:w="0" w:type="nil"/>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deGrade6Colorida-nfase2">
    <w:name w:val="Grid Table 6 Colorful Accent 2"/>
    <w:basedOn w:val="Tabelanormal"/>
    <w:uiPriority w:val="51"/>
    <w:rsid w:val="001712DC"/>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footnotedescription">
    <w:name w:val="footnote description"/>
    <w:next w:val="Normal"/>
    <w:link w:val="footnotedescriptionChar"/>
    <w:hidden/>
    <w:rsid w:val="00D82222"/>
    <w:pPr>
      <w:spacing w:after="0"/>
      <w:ind w:left="135" w:right="138"/>
      <w:jc w:val="both"/>
    </w:pPr>
    <w:rPr>
      <w:rFonts w:ascii="Times New Roman" w:eastAsia="Times New Roman" w:hAnsi="Times New Roman" w:cs="Times New Roman"/>
      <w:color w:val="000000"/>
      <w:sz w:val="20"/>
      <w:lang w:eastAsia="pt-BR"/>
    </w:rPr>
  </w:style>
  <w:style w:type="character" w:customStyle="1" w:styleId="footnotedescriptionChar">
    <w:name w:val="footnote description Char"/>
    <w:link w:val="footnotedescription"/>
    <w:rsid w:val="00D82222"/>
    <w:rPr>
      <w:rFonts w:ascii="Times New Roman" w:eastAsia="Times New Roman" w:hAnsi="Times New Roman" w:cs="Times New Roman"/>
      <w:color w:val="000000"/>
      <w:sz w:val="20"/>
      <w:lang w:eastAsia="pt-BR"/>
    </w:rPr>
  </w:style>
  <w:style w:type="character" w:customStyle="1" w:styleId="footnotemark">
    <w:name w:val="footnote mark"/>
    <w:hidden/>
    <w:rsid w:val="00D82222"/>
    <w:rPr>
      <w:rFonts w:ascii="Times New Roman" w:eastAsia="Times New Roman" w:hAnsi="Times New Roman" w:cs="Times New Roman"/>
      <w:color w:val="000000"/>
      <w:sz w:val="20"/>
      <w:vertAlign w:val="superscript"/>
    </w:rPr>
  </w:style>
  <w:style w:type="table" w:customStyle="1" w:styleId="TableGrid">
    <w:name w:val="TableGrid"/>
    <w:rsid w:val="00626102"/>
    <w:pPr>
      <w:spacing w:after="0" w:line="240" w:lineRule="auto"/>
    </w:pPr>
    <w:rPr>
      <w:rFonts w:eastAsiaTheme="minorEastAsia"/>
      <w:lang w:eastAsia="pt-BR"/>
    </w:rPr>
    <w:tblPr>
      <w:tblCellMar>
        <w:top w:w="0" w:type="dxa"/>
        <w:left w:w="0" w:type="dxa"/>
        <w:bottom w:w="0" w:type="dxa"/>
        <w:right w:w="0" w:type="dxa"/>
      </w:tblCellMar>
    </w:tblPr>
  </w:style>
  <w:style w:type="table" w:styleId="TabeladeGrade4-nfase2">
    <w:name w:val="Grid Table 4 Accent 2"/>
    <w:basedOn w:val="Tabelanormal"/>
    <w:uiPriority w:val="49"/>
    <w:rsid w:val="000564A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nfaseIntensa">
    <w:name w:val="Intense Emphasis"/>
    <w:basedOn w:val="Fontepargpadro"/>
    <w:uiPriority w:val="21"/>
    <w:qFormat/>
    <w:rsid w:val="008F7669"/>
    <w:rPr>
      <w:rFonts w:ascii="Times New Roman" w:hAnsi="Times New Roman"/>
      <w:b/>
      <w:bCs/>
      <w:i w:val="0"/>
      <w:iCs/>
      <w:color w:val="5B9BD5" w:themeColor="accent1"/>
      <w:sz w:val="20"/>
    </w:rPr>
  </w:style>
  <w:style w:type="paragraph" w:customStyle="1" w:styleId="Default">
    <w:name w:val="Default"/>
    <w:rsid w:val="00DA3EF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o7qm09869">
    <w:name w:val="o7qm09869"/>
    <w:rsid w:val="00A54598"/>
  </w:style>
  <w:style w:type="character" w:styleId="nfase">
    <w:name w:val="Emphasis"/>
    <w:uiPriority w:val="20"/>
    <w:qFormat/>
    <w:rsid w:val="008566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295078">
      <w:bodyDiv w:val="1"/>
      <w:marLeft w:val="0"/>
      <w:marRight w:val="0"/>
      <w:marTop w:val="0"/>
      <w:marBottom w:val="0"/>
      <w:divBdr>
        <w:top w:val="none" w:sz="0" w:space="0" w:color="auto"/>
        <w:left w:val="none" w:sz="0" w:space="0" w:color="auto"/>
        <w:bottom w:val="none" w:sz="0" w:space="0" w:color="auto"/>
        <w:right w:val="none" w:sz="0" w:space="0" w:color="auto"/>
      </w:divBdr>
    </w:div>
    <w:div w:id="86656200">
      <w:bodyDiv w:val="1"/>
      <w:marLeft w:val="0"/>
      <w:marRight w:val="0"/>
      <w:marTop w:val="0"/>
      <w:marBottom w:val="0"/>
      <w:divBdr>
        <w:top w:val="none" w:sz="0" w:space="0" w:color="auto"/>
        <w:left w:val="none" w:sz="0" w:space="0" w:color="auto"/>
        <w:bottom w:val="none" w:sz="0" w:space="0" w:color="auto"/>
        <w:right w:val="none" w:sz="0" w:space="0" w:color="auto"/>
      </w:divBdr>
    </w:div>
    <w:div w:id="286669558">
      <w:bodyDiv w:val="1"/>
      <w:marLeft w:val="0"/>
      <w:marRight w:val="0"/>
      <w:marTop w:val="0"/>
      <w:marBottom w:val="0"/>
      <w:divBdr>
        <w:top w:val="none" w:sz="0" w:space="0" w:color="auto"/>
        <w:left w:val="none" w:sz="0" w:space="0" w:color="auto"/>
        <w:bottom w:val="none" w:sz="0" w:space="0" w:color="auto"/>
        <w:right w:val="none" w:sz="0" w:space="0" w:color="auto"/>
      </w:divBdr>
      <w:divsChild>
        <w:div w:id="1263613640">
          <w:marLeft w:val="0"/>
          <w:marRight w:val="0"/>
          <w:marTop w:val="0"/>
          <w:marBottom w:val="0"/>
          <w:divBdr>
            <w:top w:val="none" w:sz="0" w:space="0" w:color="auto"/>
            <w:left w:val="none" w:sz="0" w:space="0" w:color="auto"/>
            <w:bottom w:val="none" w:sz="0" w:space="0" w:color="auto"/>
            <w:right w:val="none" w:sz="0" w:space="0" w:color="auto"/>
          </w:divBdr>
        </w:div>
        <w:div w:id="714039647">
          <w:marLeft w:val="0"/>
          <w:marRight w:val="0"/>
          <w:marTop w:val="0"/>
          <w:marBottom w:val="0"/>
          <w:divBdr>
            <w:top w:val="none" w:sz="0" w:space="0" w:color="auto"/>
            <w:left w:val="none" w:sz="0" w:space="0" w:color="auto"/>
            <w:bottom w:val="none" w:sz="0" w:space="0" w:color="auto"/>
            <w:right w:val="none" w:sz="0" w:space="0" w:color="auto"/>
          </w:divBdr>
        </w:div>
        <w:div w:id="218059082">
          <w:marLeft w:val="0"/>
          <w:marRight w:val="0"/>
          <w:marTop w:val="0"/>
          <w:marBottom w:val="0"/>
          <w:divBdr>
            <w:top w:val="none" w:sz="0" w:space="0" w:color="auto"/>
            <w:left w:val="none" w:sz="0" w:space="0" w:color="auto"/>
            <w:bottom w:val="none" w:sz="0" w:space="0" w:color="auto"/>
            <w:right w:val="none" w:sz="0" w:space="0" w:color="auto"/>
          </w:divBdr>
        </w:div>
      </w:divsChild>
    </w:div>
    <w:div w:id="425537320">
      <w:bodyDiv w:val="1"/>
      <w:marLeft w:val="0"/>
      <w:marRight w:val="0"/>
      <w:marTop w:val="0"/>
      <w:marBottom w:val="0"/>
      <w:divBdr>
        <w:top w:val="none" w:sz="0" w:space="0" w:color="auto"/>
        <w:left w:val="none" w:sz="0" w:space="0" w:color="auto"/>
        <w:bottom w:val="none" w:sz="0" w:space="0" w:color="auto"/>
        <w:right w:val="none" w:sz="0" w:space="0" w:color="auto"/>
      </w:divBdr>
    </w:div>
    <w:div w:id="486019188">
      <w:bodyDiv w:val="1"/>
      <w:marLeft w:val="0"/>
      <w:marRight w:val="0"/>
      <w:marTop w:val="0"/>
      <w:marBottom w:val="0"/>
      <w:divBdr>
        <w:top w:val="none" w:sz="0" w:space="0" w:color="auto"/>
        <w:left w:val="none" w:sz="0" w:space="0" w:color="auto"/>
        <w:bottom w:val="none" w:sz="0" w:space="0" w:color="auto"/>
        <w:right w:val="none" w:sz="0" w:space="0" w:color="auto"/>
      </w:divBdr>
    </w:div>
    <w:div w:id="486626187">
      <w:bodyDiv w:val="1"/>
      <w:marLeft w:val="0"/>
      <w:marRight w:val="0"/>
      <w:marTop w:val="0"/>
      <w:marBottom w:val="0"/>
      <w:divBdr>
        <w:top w:val="none" w:sz="0" w:space="0" w:color="auto"/>
        <w:left w:val="none" w:sz="0" w:space="0" w:color="auto"/>
        <w:bottom w:val="none" w:sz="0" w:space="0" w:color="auto"/>
        <w:right w:val="none" w:sz="0" w:space="0" w:color="auto"/>
      </w:divBdr>
    </w:div>
    <w:div w:id="638877035">
      <w:bodyDiv w:val="1"/>
      <w:marLeft w:val="0"/>
      <w:marRight w:val="0"/>
      <w:marTop w:val="0"/>
      <w:marBottom w:val="0"/>
      <w:divBdr>
        <w:top w:val="none" w:sz="0" w:space="0" w:color="auto"/>
        <w:left w:val="none" w:sz="0" w:space="0" w:color="auto"/>
        <w:bottom w:val="none" w:sz="0" w:space="0" w:color="auto"/>
        <w:right w:val="none" w:sz="0" w:space="0" w:color="auto"/>
      </w:divBdr>
    </w:div>
    <w:div w:id="681973933">
      <w:bodyDiv w:val="1"/>
      <w:marLeft w:val="0"/>
      <w:marRight w:val="0"/>
      <w:marTop w:val="0"/>
      <w:marBottom w:val="0"/>
      <w:divBdr>
        <w:top w:val="none" w:sz="0" w:space="0" w:color="auto"/>
        <w:left w:val="none" w:sz="0" w:space="0" w:color="auto"/>
        <w:bottom w:val="none" w:sz="0" w:space="0" w:color="auto"/>
        <w:right w:val="none" w:sz="0" w:space="0" w:color="auto"/>
      </w:divBdr>
    </w:div>
    <w:div w:id="754714048">
      <w:bodyDiv w:val="1"/>
      <w:marLeft w:val="0"/>
      <w:marRight w:val="0"/>
      <w:marTop w:val="0"/>
      <w:marBottom w:val="0"/>
      <w:divBdr>
        <w:top w:val="none" w:sz="0" w:space="0" w:color="auto"/>
        <w:left w:val="none" w:sz="0" w:space="0" w:color="auto"/>
        <w:bottom w:val="none" w:sz="0" w:space="0" w:color="auto"/>
        <w:right w:val="none" w:sz="0" w:space="0" w:color="auto"/>
      </w:divBdr>
    </w:div>
    <w:div w:id="816143716">
      <w:bodyDiv w:val="1"/>
      <w:marLeft w:val="0"/>
      <w:marRight w:val="0"/>
      <w:marTop w:val="0"/>
      <w:marBottom w:val="0"/>
      <w:divBdr>
        <w:top w:val="none" w:sz="0" w:space="0" w:color="auto"/>
        <w:left w:val="none" w:sz="0" w:space="0" w:color="auto"/>
        <w:bottom w:val="none" w:sz="0" w:space="0" w:color="auto"/>
        <w:right w:val="none" w:sz="0" w:space="0" w:color="auto"/>
      </w:divBdr>
    </w:div>
    <w:div w:id="953484168">
      <w:bodyDiv w:val="1"/>
      <w:marLeft w:val="0"/>
      <w:marRight w:val="0"/>
      <w:marTop w:val="0"/>
      <w:marBottom w:val="0"/>
      <w:divBdr>
        <w:top w:val="none" w:sz="0" w:space="0" w:color="auto"/>
        <w:left w:val="none" w:sz="0" w:space="0" w:color="auto"/>
        <w:bottom w:val="none" w:sz="0" w:space="0" w:color="auto"/>
        <w:right w:val="none" w:sz="0" w:space="0" w:color="auto"/>
      </w:divBdr>
    </w:div>
    <w:div w:id="958683548">
      <w:bodyDiv w:val="1"/>
      <w:marLeft w:val="0"/>
      <w:marRight w:val="0"/>
      <w:marTop w:val="0"/>
      <w:marBottom w:val="0"/>
      <w:divBdr>
        <w:top w:val="none" w:sz="0" w:space="0" w:color="auto"/>
        <w:left w:val="none" w:sz="0" w:space="0" w:color="auto"/>
        <w:bottom w:val="none" w:sz="0" w:space="0" w:color="auto"/>
        <w:right w:val="none" w:sz="0" w:space="0" w:color="auto"/>
      </w:divBdr>
    </w:div>
    <w:div w:id="993335820">
      <w:bodyDiv w:val="1"/>
      <w:marLeft w:val="0"/>
      <w:marRight w:val="0"/>
      <w:marTop w:val="0"/>
      <w:marBottom w:val="0"/>
      <w:divBdr>
        <w:top w:val="none" w:sz="0" w:space="0" w:color="auto"/>
        <w:left w:val="none" w:sz="0" w:space="0" w:color="auto"/>
        <w:bottom w:val="none" w:sz="0" w:space="0" w:color="auto"/>
        <w:right w:val="none" w:sz="0" w:space="0" w:color="auto"/>
      </w:divBdr>
    </w:div>
    <w:div w:id="1000887521">
      <w:bodyDiv w:val="1"/>
      <w:marLeft w:val="0"/>
      <w:marRight w:val="0"/>
      <w:marTop w:val="0"/>
      <w:marBottom w:val="0"/>
      <w:divBdr>
        <w:top w:val="none" w:sz="0" w:space="0" w:color="auto"/>
        <w:left w:val="none" w:sz="0" w:space="0" w:color="auto"/>
        <w:bottom w:val="none" w:sz="0" w:space="0" w:color="auto"/>
        <w:right w:val="none" w:sz="0" w:space="0" w:color="auto"/>
      </w:divBdr>
    </w:div>
    <w:div w:id="1077287597">
      <w:bodyDiv w:val="1"/>
      <w:marLeft w:val="0"/>
      <w:marRight w:val="0"/>
      <w:marTop w:val="0"/>
      <w:marBottom w:val="0"/>
      <w:divBdr>
        <w:top w:val="none" w:sz="0" w:space="0" w:color="auto"/>
        <w:left w:val="none" w:sz="0" w:space="0" w:color="auto"/>
        <w:bottom w:val="none" w:sz="0" w:space="0" w:color="auto"/>
        <w:right w:val="none" w:sz="0" w:space="0" w:color="auto"/>
      </w:divBdr>
    </w:div>
    <w:div w:id="1151671733">
      <w:bodyDiv w:val="1"/>
      <w:marLeft w:val="0"/>
      <w:marRight w:val="0"/>
      <w:marTop w:val="0"/>
      <w:marBottom w:val="0"/>
      <w:divBdr>
        <w:top w:val="none" w:sz="0" w:space="0" w:color="auto"/>
        <w:left w:val="none" w:sz="0" w:space="0" w:color="auto"/>
        <w:bottom w:val="none" w:sz="0" w:space="0" w:color="auto"/>
        <w:right w:val="none" w:sz="0" w:space="0" w:color="auto"/>
      </w:divBdr>
    </w:div>
    <w:div w:id="1494445812">
      <w:bodyDiv w:val="1"/>
      <w:marLeft w:val="0"/>
      <w:marRight w:val="0"/>
      <w:marTop w:val="0"/>
      <w:marBottom w:val="0"/>
      <w:divBdr>
        <w:top w:val="none" w:sz="0" w:space="0" w:color="auto"/>
        <w:left w:val="none" w:sz="0" w:space="0" w:color="auto"/>
        <w:bottom w:val="none" w:sz="0" w:space="0" w:color="auto"/>
        <w:right w:val="none" w:sz="0" w:space="0" w:color="auto"/>
      </w:divBdr>
    </w:div>
    <w:div w:id="1559632404">
      <w:bodyDiv w:val="1"/>
      <w:marLeft w:val="0"/>
      <w:marRight w:val="0"/>
      <w:marTop w:val="0"/>
      <w:marBottom w:val="0"/>
      <w:divBdr>
        <w:top w:val="none" w:sz="0" w:space="0" w:color="auto"/>
        <w:left w:val="none" w:sz="0" w:space="0" w:color="auto"/>
        <w:bottom w:val="none" w:sz="0" w:space="0" w:color="auto"/>
        <w:right w:val="none" w:sz="0" w:space="0" w:color="auto"/>
      </w:divBdr>
    </w:div>
    <w:div w:id="1560483408">
      <w:bodyDiv w:val="1"/>
      <w:marLeft w:val="0"/>
      <w:marRight w:val="0"/>
      <w:marTop w:val="0"/>
      <w:marBottom w:val="0"/>
      <w:divBdr>
        <w:top w:val="none" w:sz="0" w:space="0" w:color="auto"/>
        <w:left w:val="none" w:sz="0" w:space="0" w:color="auto"/>
        <w:bottom w:val="none" w:sz="0" w:space="0" w:color="auto"/>
        <w:right w:val="none" w:sz="0" w:space="0" w:color="auto"/>
      </w:divBdr>
    </w:div>
    <w:div w:id="1624924311">
      <w:bodyDiv w:val="1"/>
      <w:marLeft w:val="0"/>
      <w:marRight w:val="0"/>
      <w:marTop w:val="0"/>
      <w:marBottom w:val="0"/>
      <w:divBdr>
        <w:top w:val="none" w:sz="0" w:space="0" w:color="auto"/>
        <w:left w:val="none" w:sz="0" w:space="0" w:color="auto"/>
        <w:bottom w:val="none" w:sz="0" w:space="0" w:color="auto"/>
        <w:right w:val="none" w:sz="0" w:space="0" w:color="auto"/>
      </w:divBdr>
    </w:div>
    <w:div w:id="1651715628">
      <w:bodyDiv w:val="1"/>
      <w:marLeft w:val="0"/>
      <w:marRight w:val="0"/>
      <w:marTop w:val="0"/>
      <w:marBottom w:val="0"/>
      <w:divBdr>
        <w:top w:val="none" w:sz="0" w:space="0" w:color="auto"/>
        <w:left w:val="none" w:sz="0" w:space="0" w:color="auto"/>
        <w:bottom w:val="none" w:sz="0" w:space="0" w:color="auto"/>
        <w:right w:val="none" w:sz="0" w:space="0" w:color="auto"/>
      </w:divBdr>
    </w:div>
    <w:div w:id="1767650182">
      <w:bodyDiv w:val="1"/>
      <w:marLeft w:val="0"/>
      <w:marRight w:val="0"/>
      <w:marTop w:val="0"/>
      <w:marBottom w:val="0"/>
      <w:divBdr>
        <w:top w:val="none" w:sz="0" w:space="0" w:color="auto"/>
        <w:left w:val="none" w:sz="0" w:space="0" w:color="auto"/>
        <w:bottom w:val="none" w:sz="0" w:space="0" w:color="auto"/>
        <w:right w:val="none" w:sz="0" w:space="0" w:color="auto"/>
      </w:divBdr>
    </w:div>
    <w:div w:id="1802532659">
      <w:bodyDiv w:val="1"/>
      <w:marLeft w:val="0"/>
      <w:marRight w:val="0"/>
      <w:marTop w:val="0"/>
      <w:marBottom w:val="0"/>
      <w:divBdr>
        <w:top w:val="none" w:sz="0" w:space="0" w:color="auto"/>
        <w:left w:val="none" w:sz="0" w:space="0" w:color="auto"/>
        <w:bottom w:val="none" w:sz="0" w:space="0" w:color="auto"/>
        <w:right w:val="none" w:sz="0" w:space="0" w:color="auto"/>
      </w:divBdr>
    </w:div>
    <w:div w:id="1896819773">
      <w:bodyDiv w:val="1"/>
      <w:marLeft w:val="0"/>
      <w:marRight w:val="0"/>
      <w:marTop w:val="0"/>
      <w:marBottom w:val="0"/>
      <w:divBdr>
        <w:top w:val="none" w:sz="0" w:space="0" w:color="auto"/>
        <w:left w:val="none" w:sz="0" w:space="0" w:color="auto"/>
        <w:bottom w:val="none" w:sz="0" w:space="0" w:color="auto"/>
        <w:right w:val="none" w:sz="0" w:space="0" w:color="auto"/>
      </w:divBdr>
    </w:div>
    <w:div w:id="1935243556">
      <w:bodyDiv w:val="1"/>
      <w:marLeft w:val="0"/>
      <w:marRight w:val="0"/>
      <w:marTop w:val="0"/>
      <w:marBottom w:val="0"/>
      <w:divBdr>
        <w:top w:val="none" w:sz="0" w:space="0" w:color="auto"/>
        <w:left w:val="none" w:sz="0" w:space="0" w:color="auto"/>
        <w:bottom w:val="none" w:sz="0" w:space="0" w:color="auto"/>
        <w:right w:val="none" w:sz="0" w:space="0" w:color="auto"/>
      </w:divBdr>
    </w:div>
    <w:div w:id="1944264429">
      <w:bodyDiv w:val="1"/>
      <w:marLeft w:val="0"/>
      <w:marRight w:val="0"/>
      <w:marTop w:val="0"/>
      <w:marBottom w:val="0"/>
      <w:divBdr>
        <w:top w:val="none" w:sz="0" w:space="0" w:color="auto"/>
        <w:left w:val="none" w:sz="0" w:space="0" w:color="auto"/>
        <w:bottom w:val="none" w:sz="0" w:space="0" w:color="auto"/>
        <w:right w:val="none" w:sz="0" w:space="0" w:color="auto"/>
      </w:divBdr>
    </w:div>
    <w:div w:id="208937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nped.tempsite.ws/novo_portal/rbe/rbedigital/RBDE13/RBDE13_05_MAURICE_TARDIF.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mailto:alan_es@ihotmail.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4439F-9F5B-4C5C-A390-019C2747C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2184</Words>
  <Characters>11798</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paulo gomes lima</dc:creator>
  <cp:keywords/>
  <dc:description/>
  <cp:lastModifiedBy>Paulo Gomes  Lima</cp:lastModifiedBy>
  <cp:revision>11</cp:revision>
  <cp:lastPrinted>2017-08-09T15:04:00Z</cp:lastPrinted>
  <dcterms:created xsi:type="dcterms:W3CDTF">2020-03-21T23:43:00Z</dcterms:created>
  <dcterms:modified xsi:type="dcterms:W3CDTF">2020-05-18T15:26:00Z</dcterms:modified>
</cp:coreProperties>
</file>